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pacing w:val="0"/>
          <w:sz w:val="48"/>
          <w:szCs w:val="48"/>
          <w:lang w:eastAsia="zh-CN"/>
        </w:rPr>
      </w:pPr>
    </w:p>
    <w:p>
      <w:pPr>
        <w:jc w:val="center"/>
        <w:rPr>
          <w:rFonts w:hint="eastAsia" w:ascii="宋体" w:hAnsi="宋体"/>
          <w:b/>
          <w:spacing w:val="0"/>
          <w:sz w:val="48"/>
          <w:szCs w:val="48"/>
          <w:lang w:eastAsia="zh-CN"/>
        </w:rPr>
      </w:pPr>
      <w:r>
        <w:rPr>
          <w:rFonts w:hint="eastAsia" w:ascii="宋体" w:hAnsi="宋体"/>
          <w:b/>
          <w:spacing w:val="0"/>
          <w:sz w:val="48"/>
          <w:szCs w:val="48"/>
          <w:lang w:eastAsia="zh-CN"/>
        </w:rPr>
        <w:t>衡岳天辰养老服务中心附属配套工程</w:t>
      </w:r>
    </w:p>
    <w:p>
      <w:pPr>
        <w:pStyle w:val="2"/>
        <w:rPr>
          <w:rFonts w:hint="eastAsia"/>
        </w:rPr>
      </w:pPr>
    </w:p>
    <w:p>
      <w:pPr>
        <w:jc w:val="center"/>
        <w:rPr>
          <w:rFonts w:hint="eastAsia" w:ascii="宋体" w:hAnsi="宋体"/>
          <w:b/>
          <w:sz w:val="52"/>
          <w:szCs w:val="52"/>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pPr>
        <w:pStyle w:val="2"/>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ind w:firstLine="2570" w:firstLineChars="800"/>
        <w:rPr>
          <w:rFonts w:hint="eastAsia" w:ascii="宋体" w:hAnsi="宋体"/>
          <w:b/>
          <w:sz w:val="32"/>
          <w:szCs w:val="15"/>
          <w:lang w:val="en-US" w:eastAsia="zh-CN"/>
        </w:rPr>
      </w:pPr>
    </w:p>
    <w:p>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项目编号：AHHYZX-2023032</w:t>
      </w:r>
    </w:p>
    <w:p>
      <w:pPr>
        <w:spacing w:line="400" w:lineRule="exact"/>
        <w:rPr>
          <w:rFonts w:ascii="宋体" w:hAnsi="宋体"/>
        </w:rPr>
      </w:pPr>
    </w:p>
    <w:p>
      <w:pPr>
        <w:spacing w:line="400" w:lineRule="exact"/>
        <w:rPr>
          <w:rFonts w:ascii="仿宋" w:hAnsi="仿宋" w:eastAsia="仿宋" w:cs="仿宋"/>
          <w:sz w:val="32"/>
          <w:szCs w:val="32"/>
        </w:rPr>
      </w:pPr>
    </w:p>
    <w:p>
      <w:pPr>
        <w:pStyle w:val="2"/>
      </w:pPr>
    </w:p>
    <w:p>
      <w:pPr>
        <w:spacing w:line="400" w:lineRule="exact"/>
        <w:rPr>
          <w:rFonts w:ascii="仿宋" w:hAnsi="仿宋" w:eastAsia="仿宋" w:cs="仿宋"/>
          <w:sz w:val="32"/>
          <w:szCs w:val="32"/>
        </w:rPr>
      </w:pPr>
    </w:p>
    <w:p>
      <w:pPr>
        <w:spacing w:line="360" w:lineRule="auto"/>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     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安徽衡岳天辰养老服务有限公司</w:t>
      </w:r>
    </w:p>
    <w:p>
      <w:pPr>
        <w:spacing w:line="360" w:lineRule="auto"/>
        <w:ind w:firstLine="1928" w:firstLineChars="6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pPr>
        <w:spacing w:line="360" w:lineRule="auto"/>
        <w:ind w:firstLine="1928" w:firstLineChars="6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12</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pPr>
        <w:pStyle w:val="6"/>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216158623"/>
      <w:bookmarkStart w:id="3" w:name="_Toc363199264"/>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衡岳天辰养老服务中心附属配套工程</w:t>
      </w:r>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ascii="华文中宋" w:hAnsi="华文中宋" w:eastAsia="华文中宋" w:cs="华文中宋"/>
          <w:b w:val="0"/>
          <w:bCs/>
          <w:sz w:val="28"/>
          <w:szCs w:val="28"/>
        </w:rPr>
      </w:pPr>
      <w:r>
        <w:rPr>
          <w:rFonts w:hint="eastAsia" w:ascii="华文中宋" w:hAnsi="华文中宋" w:eastAsia="华文中宋" w:cs="华文中宋"/>
          <w:b w:val="0"/>
          <w:bCs/>
          <w:sz w:val="28"/>
          <w:szCs w:val="28"/>
        </w:rPr>
        <w:t>竞争性谈判</w:t>
      </w:r>
      <w:bookmarkStart w:id="108" w:name="_GoBack"/>
      <w:bookmarkEnd w:id="108"/>
      <w:r>
        <w:rPr>
          <w:rFonts w:hint="eastAsia" w:ascii="华文中宋" w:hAnsi="华文中宋" w:eastAsia="华文中宋" w:cs="华文中宋"/>
          <w:b w:val="0"/>
          <w:bCs/>
          <w:sz w:val="28"/>
          <w:szCs w:val="28"/>
        </w:rPr>
        <w:t>公告</w:t>
      </w:r>
      <w:bookmarkEnd w:id="0"/>
      <w:bookmarkEnd w:id="1"/>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衡岳天辰养老服务中心附属配套工程</w:t>
      </w:r>
      <w:r>
        <w:rPr>
          <w:rFonts w:hint="eastAsia" w:ascii="仿宋" w:hAnsi="仿宋" w:eastAsia="仿宋" w:cs="仿宋"/>
          <w:sz w:val="28"/>
          <w:szCs w:val="28"/>
          <w:u w:val="none"/>
          <w:lang w:eastAsia="zh-CN"/>
        </w:rPr>
        <w:t>收到采购人邀请函的供应商</w:t>
      </w:r>
      <w:r>
        <w:rPr>
          <w:rFonts w:hint="eastAsia" w:ascii="仿宋" w:hAnsi="仿宋" w:eastAsia="仿宋" w:cs="仿宋"/>
          <w:sz w:val="28"/>
          <w:szCs w:val="28"/>
        </w:rPr>
        <w:t>应在六安市公共资源交易电子服务系统（</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"http://ggzy.luan.gov.cn）获取采购文件，并于2022年11月" </w:instrText>
      </w:r>
      <w:r>
        <w:rPr>
          <w:color w:val="000000" w:themeColor="text1"/>
          <w14:textFill>
            <w14:solidFill>
              <w14:schemeClr w14:val="tx1"/>
            </w14:solidFill>
          </w14:textFill>
        </w:rPr>
        <w:fldChar w:fldCharType="separate"/>
      </w:r>
      <w:r>
        <w:rPr>
          <w:rStyle w:val="46"/>
          <w:rFonts w:hint="eastAsia" w:ascii="仿宋" w:hAnsi="仿宋" w:eastAsia="仿宋" w:cs="仿宋"/>
          <w:color w:val="000000" w:themeColor="text1"/>
          <w:sz w:val="28"/>
          <w:szCs w:val="28"/>
          <w14:textFill>
            <w14:solidFill>
              <w14:schemeClr w14:val="tx1"/>
            </w14:solidFill>
          </w14:textFill>
        </w:rPr>
        <w:t>http://ggzy.luan.gov.cn）</w:t>
      </w:r>
      <w:r>
        <w:rPr>
          <w:rStyle w:val="46"/>
          <w:rFonts w:hint="eastAsia" w:ascii="仿宋" w:hAnsi="仿宋" w:eastAsia="仿宋" w:cs="仿宋"/>
          <w:color w:val="000000" w:themeColor="text1"/>
          <w:sz w:val="28"/>
          <w:szCs w:val="28"/>
          <w:lang w:eastAsia="zh-CN"/>
          <w14:textFill>
            <w14:solidFill>
              <w14:schemeClr w14:val="tx1"/>
            </w14:solidFill>
          </w14:textFill>
        </w:rPr>
        <w:t>、</w:t>
      </w:r>
      <w:r>
        <w:rPr>
          <w:rStyle w:val="46"/>
          <w:rFonts w:hint="eastAsia" w:ascii="仿宋" w:hAnsi="仿宋" w:eastAsia="仿宋" w:cs="仿宋"/>
          <w:color w:val="000000" w:themeColor="text1"/>
          <w:sz w:val="28"/>
          <w:szCs w:val="28"/>
          <w:lang w:val="en-US" w:eastAsia="zh-CN"/>
          <w14:textFill>
            <w14:solidFill>
              <w14:schemeClr w14:val="tx1"/>
            </w14:solidFill>
          </w14:textFill>
        </w:rPr>
        <w:t>安徽衡宇工程咨询有限公司（http://www.ahhygczx.com/)“</w:t>
      </w:r>
      <w:r>
        <w:rPr>
          <w:rStyle w:val="46"/>
          <w:rFonts w:hint="eastAsia" w:ascii="仿宋" w:hAnsi="仿宋" w:eastAsia="仿宋" w:cs="仿宋"/>
          <w:color w:val="000000" w:themeColor="text1"/>
          <w:sz w:val="28"/>
          <w:szCs w:val="28"/>
          <w14:textFill>
            <w14:solidFill>
              <w14:schemeClr w14:val="tx1"/>
            </w14:solidFill>
          </w14:textFill>
        </w:rPr>
        <w:t>获取采购文件，并于202</w:t>
      </w:r>
      <w:r>
        <w:rPr>
          <w:rStyle w:val="46"/>
          <w:rFonts w:hint="eastAsia" w:ascii="仿宋" w:hAnsi="仿宋" w:eastAsia="仿宋" w:cs="仿宋"/>
          <w:color w:val="000000" w:themeColor="text1"/>
          <w:sz w:val="28"/>
          <w:szCs w:val="28"/>
          <w:lang w:val="en-US" w:eastAsia="zh-CN"/>
          <w14:textFill>
            <w14:solidFill>
              <w14:schemeClr w14:val="tx1"/>
            </w14:solidFill>
          </w14:textFill>
        </w:rPr>
        <w:t>3</w:t>
      </w:r>
      <w:r>
        <w:rPr>
          <w:rStyle w:val="46"/>
          <w:rFonts w:hint="eastAsia" w:ascii="仿宋" w:hAnsi="仿宋" w:eastAsia="仿宋" w:cs="仿宋"/>
          <w:color w:val="000000" w:themeColor="text1"/>
          <w:sz w:val="28"/>
          <w:szCs w:val="28"/>
          <w14:textFill>
            <w14:solidFill>
              <w14:schemeClr w14:val="tx1"/>
            </w14:solidFill>
          </w14:textFill>
        </w:rPr>
        <w:t>年</w:t>
      </w:r>
      <w:r>
        <w:rPr>
          <w:rStyle w:val="46"/>
          <w:rFonts w:hint="eastAsia" w:ascii="仿宋" w:hAnsi="仿宋" w:eastAsia="仿宋" w:cs="仿宋"/>
          <w:color w:val="000000" w:themeColor="text1"/>
          <w:sz w:val="28"/>
          <w:szCs w:val="28"/>
          <w:lang w:val="en-US" w:eastAsia="zh-CN"/>
          <w14:textFill>
            <w14:solidFill>
              <w14:schemeClr w14:val="tx1"/>
            </w14:solidFill>
          </w14:textFill>
        </w:rPr>
        <w:t>12</w:t>
      </w:r>
      <w:r>
        <w:rPr>
          <w:rStyle w:val="46"/>
          <w:rFonts w:hint="eastAsia" w:ascii="仿宋" w:hAnsi="仿宋" w:eastAsia="仿宋" w:cs="仿宋"/>
          <w:color w:val="000000" w:themeColor="text1"/>
          <w:sz w:val="28"/>
          <w:szCs w:val="28"/>
          <w14:textFill>
            <w14:solidFill>
              <w14:schemeClr w14:val="tx1"/>
            </w14:solidFill>
          </w14:textFill>
        </w:rPr>
        <w:t>月</w:t>
      </w:r>
      <w:r>
        <w:rPr>
          <w:rStyle w:val="46"/>
          <w:rFonts w:hint="eastAsia" w:ascii="仿宋" w:hAnsi="仿宋" w:eastAsia="仿宋" w:cs="仿宋"/>
          <w:color w:val="000000" w:themeColor="text1"/>
          <w:sz w:val="28"/>
          <w:szCs w:val="28"/>
          <w14:textFill>
            <w14:solidFill>
              <w14:schemeClr w14:val="tx1"/>
            </w14:solidFill>
          </w14:textFill>
        </w:rPr>
        <w:fldChar w:fldCharType="end"/>
      </w:r>
      <w:r>
        <w:rPr>
          <w:rFonts w:hint="eastAsia" w:ascii="仿宋" w:hAnsi="仿宋" w:eastAsia="仿宋" w:cs="仿宋"/>
          <w:color w:val="000000" w:themeColor="text1"/>
          <w:sz w:val="28"/>
          <w:szCs w:val="28"/>
          <w:u w:val="none"/>
          <w:lang w:val="en-US" w:eastAsia="zh-CN"/>
          <w14:textFill>
            <w14:solidFill>
              <w14:schemeClr w14:val="tx1"/>
            </w14:solidFill>
          </w14:textFill>
        </w:rPr>
        <w:t>26</w:t>
      </w:r>
      <w:r>
        <w:rPr>
          <w:rFonts w:hint="eastAsia" w:ascii="仿宋" w:hAnsi="仿宋" w:eastAsia="仿宋" w:cs="仿宋"/>
          <w:color w:val="000000" w:themeColor="text1"/>
          <w:sz w:val="28"/>
          <w:szCs w:val="28"/>
          <w14:textFill>
            <w14:solidFill>
              <w14:schemeClr w14:val="tx1"/>
            </w14:solidFill>
          </w14:textFill>
        </w:rPr>
        <w:t>日</w:t>
      </w:r>
      <w:r>
        <w:rPr>
          <w:rFonts w:hint="eastAsia" w:ascii="仿宋" w:hAnsi="仿宋" w:eastAsia="仿宋" w:cs="仿宋"/>
          <w:color w:val="000000" w:themeColor="text1"/>
          <w:sz w:val="28"/>
          <w:szCs w:val="28"/>
          <w:u w:val="none"/>
          <w:lang w:val="en-US" w:eastAsia="zh-CN"/>
          <w14:textFill>
            <w14:solidFill>
              <w14:schemeClr w14:val="tx1"/>
            </w14:solidFill>
          </w14:textFill>
        </w:rPr>
        <w:t>9</w:t>
      </w:r>
      <w:r>
        <w:rPr>
          <w:rFonts w:hint="eastAsia" w:ascii="仿宋" w:hAnsi="仿宋" w:eastAsia="仿宋" w:cs="仿宋"/>
          <w:sz w:val="28"/>
          <w:szCs w:val="28"/>
          <w:u w:val="none"/>
        </w:rPr>
        <w:t>点</w:t>
      </w:r>
      <w:r>
        <w:rPr>
          <w:rFonts w:hint="eastAsia" w:ascii="仿宋" w:hAnsi="仿宋" w:eastAsia="仿宋" w:cs="仿宋"/>
          <w:sz w:val="28"/>
          <w:szCs w:val="28"/>
          <w:u w:val="none"/>
          <w:lang w:val="en-US" w:eastAsia="zh-CN"/>
        </w:rPr>
        <w:t xml:space="preserve">00 </w:t>
      </w:r>
      <w:r>
        <w:rPr>
          <w:rFonts w:hint="eastAsia" w:ascii="仿宋" w:hAnsi="仿宋" w:eastAsia="仿宋" w:cs="仿宋"/>
          <w:sz w:val="28"/>
          <w:szCs w:val="28"/>
        </w:rPr>
        <w:t>分（北京时间）前提交响应文件。</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4" w:name="_Toc28359012"/>
      <w:bookmarkStart w:id="5" w:name="_Toc7777"/>
      <w:bookmarkStart w:id="6" w:name="_Toc28359089"/>
      <w:bookmarkStart w:id="7" w:name="_Toc35393629"/>
      <w:bookmarkStart w:id="8" w:name="_Toc35393798"/>
      <w:r>
        <w:rPr>
          <w:rFonts w:hint="eastAsia" w:ascii="黑体" w:hAnsi="黑体" w:cs="黑体"/>
          <w:b w:val="0"/>
          <w:bCs/>
          <w:sz w:val="28"/>
          <w:szCs w:val="28"/>
        </w:rPr>
        <w:t>一、项目基本情况</w:t>
      </w:r>
      <w:bookmarkEnd w:id="4"/>
      <w:bookmarkEnd w:id="5"/>
      <w:bookmarkEnd w:id="6"/>
      <w:bookmarkEnd w:id="7"/>
      <w:bookmarkEnd w:id="8"/>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衡岳天辰养老服务中心附属配套工程</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项目编号：AHHYZX-2023032</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项目类型：工程类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 xml:space="preserve">、采购方式：竞争性谈判 </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、预</w:t>
      </w:r>
      <w:r>
        <w:rPr>
          <w:rFonts w:hint="eastAsia" w:ascii="仿宋" w:hAnsi="仿宋" w:eastAsia="仿宋" w:cs="仿宋"/>
          <w:color w:val="auto"/>
          <w:sz w:val="28"/>
          <w:szCs w:val="28"/>
        </w:rPr>
        <w:t>算金额：</w:t>
      </w:r>
      <w:r>
        <w:rPr>
          <w:rFonts w:hint="eastAsia" w:ascii="仿宋" w:hAnsi="仿宋" w:eastAsia="仿宋" w:cs="仿宋"/>
          <w:color w:val="auto"/>
          <w:sz w:val="28"/>
          <w:szCs w:val="28"/>
          <w:lang w:val="en-US" w:eastAsia="zh-CN"/>
        </w:rPr>
        <w:t>567164.40</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567164.40</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、采购需求：</w:t>
      </w:r>
      <w:r>
        <w:rPr>
          <w:rFonts w:hint="eastAsia" w:ascii="仿宋" w:hAnsi="仿宋" w:eastAsia="仿宋" w:cs="仿宋"/>
          <w:color w:val="auto"/>
          <w:sz w:val="28"/>
          <w:szCs w:val="28"/>
          <w:lang w:val="en-US" w:eastAsia="zh-CN"/>
        </w:rPr>
        <w:t>主要内容包括围墙、新建长城墙、连廊、化粪池清理、屋面零星项目等工程</w:t>
      </w:r>
      <w:r>
        <w:rPr>
          <w:rFonts w:hint="eastAsia" w:ascii="仿宋" w:hAnsi="仿宋" w:eastAsia="仿宋" w:cs="仿宋"/>
          <w:color w:val="auto"/>
          <w:sz w:val="28"/>
          <w:szCs w:val="28"/>
          <w:lang w:val="en-US" w:eastAsia="zh-CN"/>
        </w:rPr>
        <w:t>，约56.71万元，具体详见工程量清单及图纸。</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u w:val="single"/>
        </w:rPr>
      </w:pPr>
      <w:r>
        <w:rPr>
          <w:rFonts w:hint="eastAsia" w:ascii="仿宋" w:hAnsi="仿宋" w:eastAsia="仿宋" w:cs="仿宋"/>
          <w:sz w:val="28"/>
          <w:szCs w:val="28"/>
          <w:lang w:val="en-US" w:eastAsia="zh-CN"/>
        </w:rPr>
        <w:t>8</w:t>
      </w:r>
      <w:r>
        <w:rPr>
          <w:rFonts w:hint="eastAsia" w:ascii="仿宋" w:hAnsi="仿宋" w:eastAsia="仿宋" w:cs="仿宋"/>
          <w:sz w:val="28"/>
          <w:szCs w:val="28"/>
        </w:rPr>
        <w:t>、合同履</w:t>
      </w:r>
      <w:r>
        <w:rPr>
          <w:rFonts w:hint="eastAsia" w:ascii="仿宋" w:hAnsi="仿宋" w:eastAsia="仿宋" w:cs="仿宋"/>
          <w:color w:val="000000" w:themeColor="text1"/>
          <w:sz w:val="28"/>
          <w:szCs w:val="28"/>
          <w14:textFill>
            <w14:solidFill>
              <w14:schemeClr w14:val="tx1"/>
            </w14:solidFill>
          </w14:textFill>
        </w:rPr>
        <w:t>行期限：</w:t>
      </w:r>
      <w:r>
        <w:rPr>
          <w:rFonts w:hint="eastAsia" w:ascii="仿宋" w:hAnsi="仿宋" w:eastAsia="仿宋" w:cs="仿宋"/>
          <w:color w:val="000000" w:themeColor="text1"/>
          <w:sz w:val="28"/>
          <w:szCs w:val="28"/>
          <w:lang w:val="en-US" w:eastAsia="zh-CN"/>
          <w14:textFill>
            <w14:solidFill>
              <w14:schemeClr w14:val="tx1"/>
            </w14:solidFill>
          </w14:textFill>
        </w:rPr>
        <w:t>30日历天</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9" w:name="_Toc11070"/>
      <w:bookmarkStart w:id="10" w:name="_Toc28359090"/>
      <w:bookmarkStart w:id="11" w:name="_Toc28359013"/>
      <w:bookmarkStart w:id="12" w:name="_Toc35393799"/>
      <w:bookmarkStart w:id="13" w:name="_Toc35393630"/>
      <w:r>
        <w:rPr>
          <w:rFonts w:hint="eastAsia" w:ascii="黑体" w:hAnsi="黑体" w:cs="黑体"/>
          <w:b w:val="0"/>
          <w:bCs/>
          <w:sz w:val="28"/>
          <w:szCs w:val="28"/>
        </w:rPr>
        <w:t>二、申请人的资格要求</w:t>
      </w:r>
      <w:bookmarkEnd w:id="9"/>
      <w:bookmarkEnd w:id="10"/>
      <w:bookmarkEnd w:id="11"/>
      <w:bookmarkEnd w:id="12"/>
      <w:bookmarkEnd w:id="13"/>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bookmarkStart w:id="14" w:name="_Toc28359014"/>
      <w:bookmarkStart w:id="15" w:name="_Toc28359091"/>
      <w:r>
        <w:rPr>
          <w:rFonts w:hint="eastAsia" w:ascii="仿宋" w:hAnsi="仿宋" w:eastAsia="仿宋" w:cs="仿宋"/>
          <w:sz w:val="28"/>
          <w:szCs w:val="28"/>
        </w:rPr>
        <w:t>2、本项目的特定资格要求：</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（1）供应商具有独立法人资格</w:t>
      </w:r>
      <w:r>
        <w:rPr>
          <w:rFonts w:hint="eastAsia" w:ascii="仿宋" w:hAnsi="仿宋" w:eastAsia="仿宋" w:cs="仿宋"/>
          <w:sz w:val="28"/>
          <w:szCs w:val="28"/>
          <w:lang w:eastAsia="zh-CN"/>
        </w:rPr>
        <w:t>，</w:t>
      </w:r>
      <w:r>
        <w:rPr>
          <w:rFonts w:hint="eastAsia" w:ascii="仿宋" w:hAnsi="仿宋" w:eastAsia="仿宋" w:cs="仿宋"/>
          <w:sz w:val="28"/>
          <w:szCs w:val="28"/>
        </w:rPr>
        <w:t>具</w:t>
      </w:r>
      <w:r>
        <w:rPr>
          <w:rFonts w:hint="eastAsia" w:ascii="仿宋" w:hAnsi="仿宋" w:eastAsia="仿宋" w:cs="仿宋"/>
          <w:sz w:val="28"/>
          <w:szCs w:val="28"/>
          <w:lang w:val="en-US" w:eastAsia="zh-CN"/>
        </w:rPr>
        <w:t>备市政公用工程</w:t>
      </w:r>
      <w:r>
        <w:rPr>
          <w:rFonts w:hint="eastAsia" w:ascii="仿宋" w:hAnsi="仿宋" w:eastAsia="仿宋" w:cs="仿宋"/>
          <w:sz w:val="28"/>
          <w:szCs w:val="28"/>
        </w:rPr>
        <w:t>施工总承包三级及以上资质，具有有效安全生产许可证；</w:t>
      </w:r>
    </w:p>
    <w:p>
      <w:pPr>
        <w:pageBreakBefore w:val="0"/>
        <w:kinsoku/>
        <w:wordWrap/>
        <w:overflowPunct/>
        <w:topLinePunct w:val="0"/>
        <w:autoSpaceDE/>
        <w:autoSpaceDN/>
        <w:bidi w:val="0"/>
        <w:adjustRightInd/>
        <w:snapToGrid/>
        <w:spacing w:line="420" w:lineRule="exact"/>
        <w:textAlignment w:val="auto"/>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）拟派项目经理（建造师）应具有</w:t>
      </w:r>
      <w:r>
        <w:rPr>
          <w:rFonts w:hint="eastAsia" w:ascii="仿宋" w:hAnsi="仿宋" w:eastAsia="仿宋" w:cs="仿宋"/>
          <w:sz w:val="28"/>
          <w:szCs w:val="28"/>
          <w:lang w:val="en-US" w:eastAsia="zh-CN"/>
        </w:rPr>
        <w:t>市政公用工程</w:t>
      </w:r>
      <w:r>
        <w:rPr>
          <w:rFonts w:hint="eastAsia" w:ascii="仿宋" w:hAnsi="仿宋" w:eastAsia="仿宋" w:cs="仿宋"/>
          <w:sz w:val="28"/>
          <w:szCs w:val="28"/>
        </w:rPr>
        <w:t>专业二级及以上注册建造师证书及B类安全生产考核合格证书；无在建工程（提供无在建承诺函，格式参考附件）。</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exact"/>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w:t>
      </w:r>
      <w:r>
        <w:rPr>
          <w:rFonts w:hint="eastAsia" w:ascii="仿宋" w:hAnsi="仿宋" w:eastAsia="仿宋" w:cs="仿宋"/>
          <w:kern w:val="2"/>
          <w:sz w:val="28"/>
          <w:szCs w:val="28"/>
          <w:lang w:val="en-US" w:eastAsia="zh-CN" w:bidi="ar-SA"/>
        </w:rPr>
        <w:t>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仿宋" w:hAnsi="仿宋" w:eastAsia="仿宋" w:cs="仿宋"/>
          <w:b/>
          <w:bCs/>
          <w:color w:val="auto"/>
          <w:kern w:val="2"/>
          <w:sz w:val="28"/>
          <w:szCs w:val="28"/>
          <w:lang w:val="en-US" w:eastAsia="zh-CN" w:bidi="ar-SA"/>
        </w:rPr>
        <w:t>项目经理、技术负责人</w:t>
      </w:r>
      <w:r>
        <w:rPr>
          <w:rFonts w:hint="eastAsia" w:ascii="仿宋" w:hAnsi="仿宋" w:eastAsia="仿宋" w:cs="仿宋"/>
          <w:kern w:val="2"/>
          <w:sz w:val="28"/>
          <w:szCs w:val="28"/>
          <w:lang w:val="en-US" w:eastAsia="zh-CN" w:bidi="ar-SA"/>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经理姓名、技术负责人的工资打卡流水账单原件扫描件）。</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6" w:name="_Toc35393631"/>
      <w:bookmarkStart w:id="17" w:name="_Toc35393800"/>
      <w:bookmarkStart w:id="18" w:name="_Toc15899"/>
      <w:r>
        <w:rPr>
          <w:rFonts w:hint="eastAsia" w:ascii="黑体" w:hAnsi="黑体" w:cs="黑体"/>
          <w:b w:val="0"/>
          <w:bCs/>
          <w:sz w:val="28"/>
          <w:szCs w:val="28"/>
        </w:rPr>
        <w:t>三、获取采购文件</w:t>
      </w:r>
      <w:bookmarkEnd w:id="14"/>
      <w:bookmarkEnd w:id="15"/>
      <w:bookmarkEnd w:id="16"/>
      <w:bookmarkEnd w:id="17"/>
      <w:bookmarkEnd w:id="18"/>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bookmarkStart w:id="19" w:name="_Toc28359015"/>
      <w:bookmarkStart w:id="20" w:name="_Toc28359092"/>
      <w:bookmarkStart w:id="21" w:name="_Toc35393632"/>
      <w:bookmarkStart w:id="22" w:name="_Toc35393801"/>
      <w:bookmarkStart w:id="23" w:name="_Toc13207"/>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rPr>
        <w:t>安徽衡宇工程咨询有限公司（http://www.ahhygczx.com/)</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rPr>
      </w:pPr>
      <w:r>
        <w:rPr>
          <w:rFonts w:hint="eastAsia" w:ascii="仿宋" w:hAnsi="仿宋" w:eastAsia="仿宋" w:cs="仿宋"/>
          <w:sz w:val="28"/>
          <w:szCs w:val="28"/>
        </w:rPr>
        <w:t>3、获取方式：请收到采购人邀请通知的供应商自行到安徽衡宇工程咨询有限公司（http://www.ahhygczx.com/)“招标公告”栏中下载本项目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未收到邀请通知的供应商，响应无效。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4、售价：零元</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r>
        <w:rPr>
          <w:rFonts w:hint="eastAsia" w:ascii="黑体" w:hAnsi="黑体" w:cs="黑体"/>
          <w:b w:val="0"/>
          <w:bCs/>
          <w:sz w:val="28"/>
          <w:szCs w:val="28"/>
        </w:rPr>
        <w:t>四、响应文件</w:t>
      </w:r>
      <w:bookmarkEnd w:id="19"/>
      <w:bookmarkEnd w:id="20"/>
      <w:bookmarkEnd w:id="21"/>
      <w:bookmarkEnd w:id="22"/>
      <w:r>
        <w:rPr>
          <w:rFonts w:hint="eastAsia" w:ascii="黑体" w:hAnsi="黑体" w:cs="黑体"/>
          <w:b w:val="0"/>
          <w:bCs/>
          <w:color w:val="auto"/>
          <w:sz w:val="28"/>
          <w:szCs w:val="28"/>
        </w:rPr>
        <w:t>提交</w:t>
      </w:r>
      <w:bookmarkEnd w:id="23"/>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1、递交截止</w:t>
      </w:r>
      <w:r>
        <w:rPr>
          <w:rFonts w:hint="eastAsia" w:ascii="仿宋" w:hAnsi="仿宋" w:eastAsia="仿宋" w:cs="仿宋"/>
          <w:color w:val="auto"/>
          <w:sz w:val="28"/>
          <w:szCs w:val="28"/>
        </w:rPr>
        <w:t>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26</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2、递交方式：现场递交</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3、递交地点：</w:t>
      </w:r>
      <w:r>
        <w:rPr>
          <w:rFonts w:hint="eastAsia" w:ascii="仿宋" w:hAnsi="仿宋" w:eastAsia="仿宋" w:cs="仿宋"/>
          <w:b w:val="0"/>
          <w:bCs w:val="0"/>
          <w:color w:val="auto"/>
          <w:sz w:val="28"/>
          <w:szCs w:val="28"/>
          <w:lang w:val="en-US" w:eastAsia="zh-CN"/>
        </w:rPr>
        <w:t>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bookmarkStart w:id="24" w:name="_Toc31128"/>
      <w:bookmarkStart w:id="25" w:name="_Toc28359093"/>
      <w:bookmarkStart w:id="26" w:name="_Toc28359016"/>
      <w:bookmarkStart w:id="27" w:name="_Toc35393633"/>
      <w:bookmarkStart w:id="28" w:name="_Toc35393802"/>
      <w:r>
        <w:rPr>
          <w:rFonts w:hint="eastAsia" w:ascii="黑体" w:hAnsi="黑体" w:cs="黑体"/>
          <w:b w:val="0"/>
          <w:bCs/>
          <w:color w:val="auto"/>
          <w:sz w:val="28"/>
          <w:szCs w:val="28"/>
        </w:rPr>
        <w:t>五、响应文件开启</w:t>
      </w:r>
      <w:bookmarkEnd w:id="24"/>
      <w:bookmarkEnd w:id="25"/>
      <w:bookmarkEnd w:id="26"/>
      <w:bookmarkEnd w:id="27"/>
      <w:bookmarkEnd w:id="28"/>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bookmarkStart w:id="29" w:name="_Toc35393803"/>
      <w:bookmarkStart w:id="30" w:name="_Toc25132"/>
      <w:bookmarkStart w:id="31" w:name="_Toc28359017"/>
      <w:bookmarkStart w:id="32" w:name="_Toc35393634"/>
      <w:bookmarkStart w:id="33" w:name="_Toc28359094"/>
      <w:r>
        <w:rPr>
          <w:rFonts w:hint="eastAsia" w:ascii="仿宋" w:hAnsi="仿宋" w:eastAsia="仿宋" w:cs="仿宋"/>
          <w:color w:val="auto"/>
          <w:sz w:val="28"/>
          <w:szCs w:val="28"/>
        </w:rPr>
        <w:t>1、开启时间：202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26</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2、开启地</w:t>
      </w:r>
      <w:r>
        <w:rPr>
          <w:rFonts w:hint="eastAsia" w:ascii="仿宋" w:hAnsi="仿宋" w:eastAsia="仿宋" w:cs="仿宋"/>
          <w:color w:val="auto"/>
          <w:sz w:val="28"/>
          <w:szCs w:val="28"/>
        </w:rPr>
        <w:t>点：安徽衡宇工程咨询有限公司二楼开标厅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六、公告期限</w:t>
      </w:r>
      <w:bookmarkEnd w:id="29"/>
      <w:bookmarkEnd w:id="30"/>
      <w:bookmarkEnd w:id="31"/>
      <w:bookmarkEnd w:id="32"/>
      <w:bookmarkEnd w:id="33"/>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pageBreakBefore w:val="0"/>
        <w:kinsoku/>
        <w:wordWrap/>
        <w:overflowPunct/>
        <w:topLinePunct w:val="0"/>
        <w:autoSpaceDE/>
        <w:autoSpaceDN/>
        <w:bidi w:val="0"/>
        <w:adjustRightInd/>
        <w:snapToGrid/>
        <w:spacing w:line="420" w:lineRule="exact"/>
        <w:textAlignment w:val="auto"/>
        <w:rPr>
          <w:rFonts w:ascii="黑体" w:hAnsi="黑体" w:eastAsia="黑体" w:cs="黑体"/>
          <w:sz w:val="28"/>
          <w:szCs w:val="28"/>
        </w:rPr>
      </w:pPr>
      <w:r>
        <w:rPr>
          <w:rFonts w:hint="eastAsia" w:ascii="黑体" w:hAnsi="黑体" w:eastAsia="黑体" w:cs="黑体"/>
          <w:sz w:val="28"/>
          <w:szCs w:val="28"/>
        </w:rPr>
        <w:t>七、</w:t>
      </w:r>
      <w:bookmarkStart w:id="34" w:name="_Toc35393635"/>
      <w:bookmarkStart w:id="35" w:name="_Toc35393804"/>
      <w:r>
        <w:rPr>
          <w:rFonts w:hint="eastAsia" w:ascii="黑体" w:hAnsi="黑体" w:eastAsia="黑体" w:cs="黑体"/>
          <w:sz w:val="28"/>
          <w:szCs w:val="28"/>
        </w:rPr>
        <w:t>其他事宜</w:t>
      </w:r>
      <w:bookmarkEnd w:id="34"/>
      <w:bookmarkEnd w:id="35"/>
      <w:bookmarkStart w:id="36" w:name="_Toc28359095"/>
      <w:bookmarkStart w:id="37" w:name="_Toc28359018"/>
      <w:bookmarkStart w:id="38" w:name="_Toc35393805"/>
      <w:bookmarkStart w:id="39" w:name="_Toc35393636"/>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rPr>
      </w:pPr>
      <w:bookmarkStart w:id="40" w:name="_Toc21256"/>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会议者，响应文件不予接受，</w:t>
      </w:r>
      <w:r>
        <w:rPr>
          <w:rFonts w:hint="eastAsia" w:ascii="仿宋" w:hAnsi="仿宋" w:eastAsia="仿宋" w:cs="仿宋"/>
          <w:b/>
          <w:bCs/>
          <w:sz w:val="28"/>
          <w:szCs w:val="28"/>
          <w:lang w:eastAsia="zh-CN"/>
        </w:rPr>
        <w:t>谈判</w:t>
      </w:r>
      <w:r>
        <w:rPr>
          <w:rFonts w:hint="eastAsia" w:ascii="仿宋" w:hAnsi="仿宋" w:eastAsia="仿宋" w:cs="仿宋"/>
          <w:b/>
          <w:bCs/>
          <w:sz w:val="28"/>
          <w:szCs w:val="28"/>
        </w:rPr>
        <w:t>资格无效</w:t>
      </w:r>
      <w:r>
        <w:rPr>
          <w:rFonts w:hint="eastAsia" w:ascii="仿宋" w:hAnsi="仿宋" w:eastAsia="仿宋" w:cs="仿宋"/>
          <w:sz w:val="28"/>
          <w:szCs w:val="28"/>
        </w:rPr>
        <w:t>。</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、答疑</w:t>
      </w:r>
      <w:r>
        <w:rPr>
          <w:rFonts w:hint="eastAsia" w:ascii="仿宋" w:hAnsi="仿宋" w:eastAsia="仿宋" w:cs="仿宋"/>
          <w:sz w:val="28"/>
          <w:szCs w:val="28"/>
          <w:lang w:eastAsia="zh-CN"/>
        </w:rPr>
        <w:t>：</w:t>
      </w:r>
      <w:r>
        <w:rPr>
          <w:rFonts w:hint="eastAsia" w:ascii="仿宋" w:hAnsi="仿宋" w:eastAsia="仿宋" w:cs="仿宋"/>
          <w:sz w:val="28"/>
          <w:szCs w:val="28"/>
        </w:rPr>
        <w:t>供应商如果对本项目内容有相关疑问，可以以邮件形式提出，对采购文件进行的澄清、更正或更改，将在六安市公共资源交易电子服务系统（http://ggzy.luan.gov.cn）网站“交易信息”、“非进场交易项目”版块上及时发布，该公告内容为采购文件的组成部分，对供应商具有同样约束力效力。供应商应主动上网查询，供应商须自行承担因未及时关注相关信息而引发的相关责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相关公告在六安市公共资源交易电子服务系统（http://ggzy.luan.gov.cn）网站“交易信息”、“非进场交易项目”版块发布，请各位供应商注意查看有关竞争性谈判公告、答疑澄清等相关文件资料，如不及时查看造成后果由供应商自负。</w:t>
      </w:r>
    </w:p>
    <w:p>
      <w:pPr>
        <w:pageBreakBefore w:val="0"/>
        <w:kinsoku/>
        <w:wordWrap/>
        <w:overflowPunct/>
        <w:topLinePunct w:val="0"/>
        <w:autoSpaceDE/>
        <w:autoSpaceDN/>
        <w:bidi w:val="0"/>
        <w:adjustRightInd/>
        <w:snapToGrid/>
        <w:spacing w:line="420" w:lineRule="exact"/>
        <w:textAlignment w:val="auto"/>
        <w:rPr>
          <w:rFonts w:hint="default" w:eastAsia="仿宋"/>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、严禁恶意低价或恶意高价竞标，对恶意低价或恶意高价竞标的，采购人有权进行调查处理，经查证属实的，其响应资格无效，同时给予限制投标资格等处理。 </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6"/>
      <w:bookmarkEnd w:id="37"/>
      <w:bookmarkEnd w:id="38"/>
      <w:bookmarkEnd w:id="39"/>
      <w:bookmarkEnd w:id="40"/>
    </w:p>
    <w:p>
      <w:pPr>
        <w:pStyle w:val="6"/>
        <w:pageBreakBefore w:val="0"/>
        <w:kinsoku/>
        <w:wordWrap/>
        <w:overflowPunct/>
        <w:topLinePunct w:val="0"/>
        <w:autoSpaceDE/>
        <w:autoSpaceDN/>
        <w:bidi w:val="0"/>
        <w:adjustRightInd/>
        <w:snapToGrid/>
        <w:spacing w:before="0" w:after="0" w:line="420" w:lineRule="exact"/>
        <w:jc w:val="both"/>
        <w:textAlignment w:val="auto"/>
        <w:rPr>
          <w:rFonts w:ascii="仿宋" w:hAnsi="仿宋" w:eastAsia="仿宋" w:cs="仿宋"/>
          <w:b w:val="0"/>
          <w:bCs/>
          <w:sz w:val="28"/>
          <w:szCs w:val="28"/>
        </w:rPr>
      </w:pPr>
      <w:bookmarkStart w:id="41" w:name="_Toc28359019"/>
      <w:bookmarkStart w:id="42" w:name="_Toc35393806"/>
      <w:bookmarkStart w:id="43" w:name="_Toc12167"/>
      <w:bookmarkStart w:id="44" w:name="_Toc28359096"/>
      <w:bookmarkStart w:id="45" w:name="_Toc35393637"/>
      <w:r>
        <w:rPr>
          <w:rFonts w:hint="eastAsia" w:ascii="仿宋" w:hAnsi="仿宋" w:eastAsia="仿宋" w:cs="仿宋"/>
          <w:b w:val="0"/>
          <w:bCs/>
          <w:sz w:val="28"/>
          <w:szCs w:val="28"/>
        </w:rPr>
        <w:t>1、采购人信息</w:t>
      </w:r>
      <w:bookmarkEnd w:id="41"/>
      <w:bookmarkEnd w:id="42"/>
      <w:bookmarkEnd w:id="43"/>
      <w:bookmarkEnd w:id="44"/>
      <w:bookmarkEnd w:id="45"/>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bookmarkStart w:id="46" w:name="_Toc35393807"/>
      <w:bookmarkStart w:id="47" w:name="_Toc35393638"/>
      <w:bookmarkStart w:id="48" w:name="_Toc28359097"/>
      <w:bookmarkStart w:id="49" w:name="_Toc28359020"/>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安徽衡岳天辰养老服务有限公司</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霍山县衡山镇迎驾大道西段南侧</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电话：0564-3908338</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2、采购代理机构信息</w:t>
      </w:r>
      <w:bookmarkEnd w:id="46"/>
      <w:bookmarkEnd w:id="47"/>
      <w:bookmarkEnd w:id="48"/>
      <w:bookmarkEnd w:id="49"/>
      <w:bookmarkStart w:id="50" w:name="_Toc35393639"/>
      <w:bookmarkStart w:id="51" w:name="_Toc28359021"/>
      <w:bookmarkStart w:id="52" w:name="_Toc35393808"/>
      <w:bookmarkStart w:id="53" w:name="_Toc28359098"/>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安徽衡宇工程咨询有限公司</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霍山县中兴南路16号</w:t>
      </w:r>
      <w:r>
        <w:rPr>
          <w:rFonts w:hint="eastAsia" w:ascii="仿宋" w:hAnsi="仿宋" w:eastAsia="仿宋" w:cs="仿宋"/>
          <w:bCs/>
          <w:sz w:val="28"/>
          <w:szCs w:val="28"/>
        </w:rPr>
        <w:t xml:space="preserve"> </w:t>
      </w:r>
    </w:p>
    <w:p>
      <w:pPr>
        <w:pageBreakBefore w:val="0"/>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0564-5029965</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3、项目联系方式</w:t>
      </w:r>
      <w:bookmarkEnd w:id="50"/>
      <w:bookmarkEnd w:id="51"/>
      <w:bookmarkEnd w:id="52"/>
      <w:bookmarkEnd w:id="53"/>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邵工</w:t>
      </w:r>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0564-5029965/18156429779</w:t>
      </w: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hint="eastAsia" w:ascii="仿宋" w:hAnsi="仿宋" w:eastAsia="仿宋" w:cs="仿宋"/>
          <w:bCs/>
          <w:sz w:val="28"/>
          <w:szCs w:val="28"/>
        </w:rPr>
      </w:pP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ascii="仿宋" w:hAnsi="仿宋" w:eastAsia="仿宋" w:cs="仿宋"/>
          <w:bCs/>
          <w:sz w:val="28"/>
          <w:szCs w:val="28"/>
        </w:rPr>
      </w:pPr>
      <w:r>
        <w:rPr>
          <w:rFonts w:hint="eastAsia" w:ascii="仿宋" w:hAnsi="仿宋" w:eastAsia="仿宋" w:cs="仿宋"/>
          <w:bCs/>
          <w:sz w:val="28"/>
          <w:szCs w:val="28"/>
        </w:rPr>
        <w:t>202</w:t>
      </w:r>
      <w:r>
        <w:rPr>
          <w:rFonts w:hint="eastAsia" w:ascii="仿宋" w:hAnsi="仿宋" w:eastAsia="仿宋" w:cs="仿宋"/>
          <w:bCs/>
          <w:sz w:val="28"/>
          <w:szCs w:val="28"/>
          <w:lang w:val="en-US" w:eastAsia="zh-CN"/>
        </w:rPr>
        <w:t>3</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12</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21</w:t>
      </w:r>
      <w:r>
        <w:rPr>
          <w:rFonts w:hint="eastAsia" w:ascii="仿宋" w:hAnsi="仿宋" w:eastAsia="仿宋" w:cs="仿宋"/>
          <w:bCs/>
          <w:sz w:val="28"/>
          <w:szCs w:val="28"/>
        </w:rPr>
        <w:t>日</w:t>
      </w:r>
    </w:p>
    <w:p>
      <w:pPr>
        <w:rPr>
          <w:rFonts w:hint="eastAsia" w:ascii="宋体" w:hAnsi="宋体" w:eastAsia="宋体" w:cs="宋体"/>
          <w:sz w:val="28"/>
          <w:szCs w:val="28"/>
        </w:rPr>
      </w:pPr>
      <w:bookmarkStart w:id="54" w:name="_Toc18386"/>
      <w:r>
        <w:rPr>
          <w:rFonts w:hint="eastAsia" w:ascii="宋体" w:hAnsi="宋体" w:eastAsia="宋体" w:cs="宋体"/>
          <w:sz w:val="28"/>
          <w:szCs w:val="28"/>
        </w:rPr>
        <w:br w:type="page"/>
      </w:r>
    </w:p>
    <w:p>
      <w:pPr>
        <w:pStyle w:val="6"/>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54"/>
    </w:p>
    <w:p>
      <w:pPr>
        <w:pStyle w:val="6"/>
        <w:spacing w:before="0" w:after="0" w:line="560" w:lineRule="exact"/>
        <w:jc w:val="center"/>
        <w:rPr>
          <w:rFonts w:ascii="宋体" w:hAnsi="宋体" w:eastAsia="宋体" w:cs="宋体"/>
          <w:sz w:val="24"/>
          <w:szCs w:val="24"/>
        </w:rPr>
      </w:pPr>
      <w:bookmarkStart w:id="55" w:name="_Toc6858"/>
      <w:r>
        <w:rPr>
          <w:rFonts w:hint="eastAsia" w:ascii="宋体" w:hAnsi="宋体" w:eastAsia="宋体" w:cs="宋体"/>
          <w:sz w:val="24"/>
          <w:szCs w:val="24"/>
        </w:rPr>
        <w:t>（一）须知前附表</w:t>
      </w:r>
      <w:bookmarkEnd w:id="55"/>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02"/>
        <w:gridCol w:w="1931"/>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spacing w:line="440" w:lineRule="exact"/>
              <w:jc w:val="center"/>
              <w:rPr>
                <w:rFonts w:ascii="宋体" w:hAnsi="宋体"/>
                <w:b/>
                <w:sz w:val="24"/>
                <w:szCs w:val="24"/>
              </w:rPr>
            </w:pPr>
            <w:bookmarkStart w:id="56" w:name="_Toc438107743"/>
            <w:bookmarkStart w:id="57" w:name="_Toc216158627"/>
            <w:bookmarkStart w:id="58" w:name="_Toc363199267"/>
            <w:r>
              <w:rPr>
                <w:rFonts w:hint="eastAsia" w:ascii="宋体" w:hAnsi="宋体"/>
                <w:b/>
                <w:sz w:val="24"/>
                <w:szCs w:val="24"/>
              </w:rPr>
              <w:t>序号</w:t>
            </w:r>
          </w:p>
        </w:tc>
        <w:tc>
          <w:tcPr>
            <w:tcW w:w="1931"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227" w:type="dxa"/>
            <w:vAlign w:val="center"/>
          </w:tcPr>
          <w:p>
            <w:pPr>
              <w:pStyle w:val="100"/>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931"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227" w:type="dxa"/>
            <w:vAlign w:val="center"/>
          </w:tcPr>
          <w:p>
            <w:pPr>
              <w:spacing w:line="440" w:lineRule="exact"/>
              <w:rPr>
                <w:sz w:val="24"/>
                <w:szCs w:val="24"/>
              </w:rPr>
            </w:pPr>
            <w:r>
              <w:rPr>
                <w:rFonts w:hint="eastAsia"/>
                <w:sz w:val="24"/>
                <w:szCs w:val="24"/>
                <w:lang w:eastAsia="zh-CN"/>
              </w:rPr>
              <w:t>安徽衡岳天辰养老服务有限公司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931"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227"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霍山县中兴南路16号</w:t>
            </w:r>
            <w:r>
              <w:rPr>
                <w:b/>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227" w:type="dxa"/>
            <w:vAlign w:val="center"/>
          </w:tcPr>
          <w:p>
            <w:pPr>
              <w:pStyle w:val="100"/>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衡岳天辰养老服务中心附属配套工程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227" w:type="dxa"/>
            <w:vAlign w:val="center"/>
          </w:tcPr>
          <w:p>
            <w:pPr>
              <w:pStyle w:val="100"/>
              <w:widowControl w:val="0"/>
              <w:spacing w:before="0" w:beforeAutospacing="0" w:after="0" w:afterAutospacing="0" w:line="440" w:lineRule="exact"/>
              <w:jc w:val="both"/>
              <w:rPr>
                <w:rFonts w:hint="default" w:eastAsia="宋体"/>
                <w:b w:val="0"/>
                <w:bCs w:val="0"/>
                <w:color w:val="auto"/>
                <w:sz w:val="24"/>
                <w:szCs w:val="24"/>
                <w:lang w:val="en-US" w:eastAsia="zh-CN"/>
              </w:rPr>
            </w:pPr>
            <w:r>
              <w:rPr>
                <w:rFonts w:hint="eastAsia"/>
                <w:b w:val="0"/>
                <w:bCs w:val="0"/>
                <w:color w:val="auto"/>
                <w:sz w:val="24"/>
                <w:szCs w:val="24"/>
                <w:lang w:val="en-US" w:eastAsia="zh-CN"/>
              </w:rPr>
              <w:t>AHHYZX-2023032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付款方式</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工程完工验收合格后支付工程款的30%，6个月后支付至工程款的98%，2%质保金24个月后无质量问题一次性付清。</w:t>
            </w:r>
            <w:r>
              <w:rPr>
                <w:rFonts w:hint="eastAsia" w:ascii="宋体" w:hAnsi="宋体" w:cs="宋体"/>
                <w:b w:val="0"/>
                <w:bCs w:val="0"/>
                <w:color w:val="auto"/>
                <w:sz w:val="24"/>
                <w:szCs w:val="24"/>
                <w:highlight w:val="none"/>
                <w:lang w:val="en-US" w:eastAsia="zh-CN"/>
              </w:rPr>
              <w:t>（质量保证金方式：工程款预留、现金转账、担保保函、保证保险、保函（含电子保函）等）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931" w:type="dxa"/>
            <w:vAlign w:val="center"/>
          </w:tcPr>
          <w:p>
            <w:pPr>
              <w:spacing w:line="440" w:lineRule="exact"/>
              <w:jc w:val="cente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工期</w:t>
            </w:r>
          </w:p>
        </w:tc>
        <w:tc>
          <w:tcPr>
            <w:tcW w:w="7227" w:type="dxa"/>
            <w:vAlign w:val="center"/>
          </w:tcPr>
          <w:p>
            <w:pPr>
              <w:pStyle w:val="100"/>
              <w:widowControl w:val="0"/>
              <w:spacing w:before="0" w:beforeAutospacing="0" w:after="0" w:afterAutospacing="0" w:line="440" w:lineRule="exact"/>
              <w:jc w:val="both"/>
              <w:rPr>
                <w:b w:val="0"/>
                <w:bCs w:val="0"/>
                <w:color w:val="000000" w:themeColor="text1"/>
                <w:sz w:val="24"/>
                <w:szCs w:val="24"/>
                <w14:textFill>
                  <w14:solidFill>
                    <w14:schemeClr w14:val="tx1"/>
                  </w14:solidFill>
                </w14:textFill>
              </w:rPr>
            </w:pPr>
            <w:r>
              <w:rPr>
                <w:rFonts w:hint="eastAsia"/>
                <w:b w:val="0"/>
                <w:bCs w:val="0"/>
                <w:color w:val="000000" w:themeColor="text1"/>
                <w:sz w:val="24"/>
                <w:szCs w:val="24"/>
                <w:lang w:val="en-US" w:eastAsia="zh-CN"/>
                <w14:textFill>
                  <w14:solidFill>
                    <w14:schemeClr w14:val="tx1"/>
                  </w14:solidFill>
                </w14:textFill>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color w:val="auto"/>
                <w:szCs w:val="24"/>
                <w:highlight w:val="none"/>
              </w:rPr>
              <w:t>成交供应商须向采购代理机构交纳代理服务费、</w:t>
            </w:r>
            <w:r>
              <w:rPr>
                <w:rFonts w:hint="eastAsia" w:ascii="宋体" w:hAnsi="宋体" w:cs="宋体"/>
                <w:color w:val="auto"/>
                <w:szCs w:val="24"/>
                <w:highlight w:val="none"/>
                <w:lang w:eastAsia="zh-CN"/>
              </w:rPr>
              <w:t>造价咨询费、</w:t>
            </w:r>
            <w:r>
              <w:rPr>
                <w:rFonts w:hint="eastAsia" w:ascii="宋体" w:hAnsi="宋体" w:cs="宋体"/>
                <w:color w:val="auto"/>
                <w:szCs w:val="24"/>
                <w:highlight w:val="none"/>
              </w:rPr>
              <w:t>专家评审费，代理服务费</w:t>
            </w:r>
            <w:r>
              <w:rPr>
                <w:rFonts w:hint="eastAsia" w:ascii="宋体" w:hAnsi="宋体" w:cs="宋体"/>
                <w:color w:val="auto"/>
                <w:szCs w:val="24"/>
                <w:highlight w:val="none"/>
                <w:lang w:eastAsia="zh-CN"/>
              </w:rPr>
              <w:t>、造价咨询费</w:t>
            </w:r>
            <w:r>
              <w:rPr>
                <w:rFonts w:hint="eastAsia" w:ascii="宋体" w:hAnsi="宋体" w:cs="宋体"/>
                <w:color w:val="auto"/>
                <w:szCs w:val="24"/>
                <w:highlight w:val="none"/>
              </w:rPr>
              <w:t>按国家收费标准计取，在领取成交通知书时缴纳，计算基数为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w:t>
            </w:r>
            <w:r>
              <w:rPr>
                <w:rFonts w:hint="eastAsia" w:ascii="宋体" w:hAnsi="宋体" w:cs="宋体"/>
                <w:color w:val="auto"/>
                <w:sz w:val="24"/>
                <w:szCs w:val="24"/>
                <w:highlight w:val="none"/>
                <w:lang w:eastAsia="zh-CN"/>
              </w:rPr>
              <w:t>无</w:t>
            </w:r>
            <w:r>
              <w:rPr>
                <w:rFonts w:hint="eastAsia" w:ascii="宋体" w:hAnsi="宋体" w:cs="宋体"/>
                <w:color w:val="auto"/>
                <w:sz w:val="24"/>
                <w:szCs w:val="24"/>
                <w:highlight w:val="none"/>
              </w:rPr>
              <w:t>。</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lang w:val="en-US"/>
              </w:rPr>
            </w:pPr>
            <w:r>
              <w:rPr>
                <w:rFonts w:hint="eastAsia" w:ascii="宋体" w:hAnsi="宋体"/>
                <w:szCs w:val="24"/>
                <w:lang w:val="en-US"/>
              </w:rPr>
              <w:t>要求：</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3"/>
              <w:spacing w:line="480" w:lineRule="exact"/>
              <w:ind w:right="1178"/>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3"/>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szCs w:val="24"/>
                <w:lang w:val="en-US"/>
              </w:rPr>
            </w:pPr>
            <w:r>
              <w:rPr>
                <w:rFonts w:hint="eastAsia" w:ascii="宋体" w:hAnsi="宋体"/>
                <w:bCs/>
                <w:kern w:val="2"/>
                <w:szCs w:val="24"/>
                <w:lang w:eastAsia="zh-CN"/>
              </w:rPr>
              <w:t>同谈判公告中</w:t>
            </w:r>
            <w:r>
              <w:rPr>
                <w:rFonts w:hint="eastAsia" w:ascii="宋体" w:hAnsi="宋体"/>
                <w:bCs/>
                <w:kern w:val="2"/>
                <w:szCs w:val="24"/>
              </w:rPr>
              <w:t>响应文件开启</w:t>
            </w:r>
            <w:r>
              <w:rPr>
                <w:rFonts w:hint="eastAsia" w:ascii="宋体" w:hAnsi="宋体"/>
                <w:bCs/>
                <w:kern w:val="2"/>
                <w:szCs w:val="24"/>
                <w:lang w:eastAsia="zh-CN"/>
              </w:rPr>
              <w:t>时间和开启地点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pStyle w:val="98"/>
              <w:pBdr>
                <w:bottom w:val="none" w:color="auto" w:sz="0" w:space="0"/>
              </w:pBdr>
              <w:tabs>
                <w:tab w:val="clear" w:pos="4153"/>
                <w:tab w:val="clear" w:pos="8306"/>
              </w:tabs>
              <w:adjustRightInd/>
              <w:spacing w:line="440" w:lineRule="exact"/>
              <w:jc w:val="both"/>
              <w:textAlignment w:val="auto"/>
              <w:rPr>
                <w:rFonts w:hint="default" w:ascii="宋体" w:hAnsi="宋体" w:eastAsia="宋体" w:cs="宋体"/>
                <w:sz w:val="24"/>
                <w:szCs w:val="24"/>
                <w:lang w:val="en-US" w:eastAsia="zh-CN"/>
              </w:rPr>
            </w:pPr>
            <w:r>
              <w:rPr>
                <w:rFonts w:ascii="宋体" w:hAnsi="宋体" w:eastAsia="宋体" w:cs="宋体"/>
                <w:sz w:val="24"/>
                <w:szCs w:val="24"/>
              </w:rPr>
              <w:t>2、</w:t>
            </w:r>
            <w:r>
              <w:rPr>
                <w:rFonts w:ascii="宋体" w:hAnsi="宋体" w:eastAsia="宋体" w:cs="宋体"/>
                <w:color w:val="auto"/>
                <w:sz w:val="24"/>
                <w:szCs w:val="24"/>
              </w:rPr>
              <w:t>供应商除配备1名项目经理外，还须配备技术负责人1名、施工员1名、安全员1名、质量员1名，响应文件中须载明上述人员，</w:t>
            </w:r>
            <w:r>
              <w:rPr>
                <w:rFonts w:hint="eastAsia" w:ascii="宋体" w:hAnsi="宋体" w:cs="宋体"/>
                <w:color w:val="auto"/>
                <w:sz w:val="24"/>
                <w:szCs w:val="24"/>
                <w:lang w:eastAsia="zh-CN"/>
              </w:rPr>
              <w:t>且</w:t>
            </w:r>
            <w:r>
              <w:rPr>
                <w:rFonts w:ascii="宋体" w:hAnsi="宋体" w:eastAsia="宋体" w:cs="宋体"/>
                <w:color w:val="auto"/>
                <w:sz w:val="24"/>
                <w:szCs w:val="24"/>
              </w:rPr>
              <w:t>需提供所属社保机构出具的包括谈判截止日所属月份（含）为基点起往前计算已经过去的连续5个月内不少于连续缴费3个月的上述人员的社保缴费清单等社保缴费证明；项目技术负责人应</w:t>
            </w:r>
            <w:r>
              <w:rPr>
                <w:rFonts w:ascii="宋体" w:hAnsi="宋体" w:eastAsia="宋体" w:cs="宋体"/>
                <w:sz w:val="24"/>
                <w:szCs w:val="24"/>
              </w:rPr>
              <w:t>具有</w:t>
            </w:r>
            <w:r>
              <w:rPr>
                <w:rFonts w:hint="eastAsia" w:ascii="宋体" w:hAnsi="宋体" w:cs="宋体"/>
                <w:b/>
                <w:bCs/>
                <w:color w:val="auto"/>
                <w:sz w:val="24"/>
                <w:szCs w:val="24"/>
                <w:lang w:eastAsia="zh-CN"/>
              </w:rPr>
              <w:t>市政公用工程</w:t>
            </w:r>
            <w:r>
              <w:rPr>
                <w:rFonts w:ascii="宋体" w:hAnsi="宋体" w:eastAsia="宋体" w:cs="宋体"/>
                <w:color w:val="auto"/>
                <w:sz w:val="24"/>
                <w:szCs w:val="24"/>
              </w:rPr>
              <w:t>相</w:t>
            </w:r>
            <w:r>
              <w:rPr>
                <w:rFonts w:ascii="宋体" w:hAnsi="宋体" w:eastAsia="宋体" w:cs="宋体"/>
                <w:sz w:val="24"/>
                <w:szCs w:val="24"/>
              </w:rPr>
              <w:t>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cs="宋体"/>
                <w:sz w:val="24"/>
                <w:szCs w:val="24"/>
                <w:lang w:val="en-US" w:eastAsia="zh-CN"/>
              </w:rPr>
              <w:t>若人员配备结构、人数和证明材料不符合上述要求，按不实质性响应谈判文件要求处理。</w:t>
            </w:r>
          </w:p>
          <w:p>
            <w:pPr>
              <w:pStyle w:val="98"/>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pStyle w:val="6"/>
        <w:spacing w:before="20" w:after="20"/>
        <w:jc w:val="both"/>
        <w:rPr>
          <w:rFonts w:ascii="宋体" w:hAnsi="宋体" w:eastAsia="宋体" w:cs="宋体"/>
          <w:sz w:val="24"/>
          <w:szCs w:val="24"/>
        </w:rPr>
      </w:pPr>
    </w:p>
    <w:p>
      <w:pPr>
        <w:rPr>
          <w:rFonts w:ascii="宋体" w:hAnsi="宋体" w:cs="宋体"/>
          <w:sz w:val="24"/>
          <w:szCs w:val="24"/>
        </w:rPr>
      </w:pPr>
    </w:p>
    <w:p>
      <w:pPr>
        <w:pStyle w:val="6"/>
        <w:spacing w:before="0" w:after="0" w:line="430" w:lineRule="exact"/>
        <w:ind w:firstLine="241" w:firstLineChars="100"/>
        <w:jc w:val="center"/>
        <w:rPr>
          <w:rFonts w:ascii="宋体" w:hAnsi="宋体" w:eastAsia="宋体" w:cs="宋体"/>
          <w:sz w:val="24"/>
          <w:szCs w:val="24"/>
        </w:rPr>
      </w:pPr>
      <w:bookmarkStart w:id="59" w:name="_Toc7878"/>
      <w:r>
        <w:rPr>
          <w:rFonts w:hint="eastAsia" w:ascii="宋体" w:hAnsi="宋体" w:eastAsia="宋体" w:cs="宋体"/>
          <w:sz w:val="24"/>
          <w:szCs w:val="24"/>
        </w:rPr>
        <w:t>（二）供应商资格</w:t>
      </w:r>
      <w:bookmarkEnd w:id="59"/>
    </w:p>
    <w:bookmarkEnd w:id="56"/>
    <w:p>
      <w:pPr>
        <w:pStyle w:val="2"/>
        <w:spacing w:after="0" w:line="430" w:lineRule="exact"/>
        <w:ind w:firstLine="480" w:firstLineChars="200"/>
        <w:jc w:val="center"/>
      </w:pPr>
      <w:bookmarkStart w:id="60" w:name="_Toc363199266"/>
      <w:bookmarkStart w:id="61" w:name="_Toc216158625"/>
      <w:bookmarkStart w:id="62" w:name="_Toc438648662"/>
      <w:r>
        <w:rPr>
          <w:rFonts w:hint="eastAsia"/>
        </w:rPr>
        <w:t>见本项目采购公告</w:t>
      </w:r>
    </w:p>
    <w:p>
      <w:pPr>
        <w:pStyle w:val="6"/>
        <w:spacing w:before="0" w:after="0" w:line="430" w:lineRule="exact"/>
        <w:jc w:val="center"/>
        <w:rPr>
          <w:rFonts w:ascii="宋体" w:hAnsi="宋体" w:eastAsia="宋体" w:cs="宋体"/>
          <w:sz w:val="24"/>
          <w:szCs w:val="24"/>
        </w:rPr>
      </w:pPr>
      <w:bookmarkStart w:id="63" w:name="_Toc27352"/>
      <w:r>
        <w:rPr>
          <w:rFonts w:hint="eastAsia" w:ascii="宋体" w:hAnsi="宋体" w:eastAsia="宋体" w:cs="宋体"/>
          <w:sz w:val="24"/>
          <w:szCs w:val="24"/>
        </w:rPr>
        <w:t>（三）供应商必须提交的响应文件内容</w:t>
      </w:r>
      <w:bookmarkEnd w:id="60"/>
      <w:bookmarkEnd w:id="61"/>
      <w:bookmarkEnd w:id="62"/>
      <w:bookmarkEnd w:id="63"/>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pPr>
        <w:pStyle w:val="6"/>
        <w:spacing w:before="0" w:after="0" w:line="430" w:lineRule="exact"/>
        <w:jc w:val="center"/>
        <w:rPr>
          <w:rFonts w:ascii="宋体" w:hAnsi="宋体" w:eastAsia="宋体" w:cs="宋体"/>
          <w:sz w:val="24"/>
          <w:szCs w:val="24"/>
        </w:rPr>
      </w:pPr>
      <w:bookmarkStart w:id="64" w:name="_Toc21125"/>
      <w:r>
        <w:rPr>
          <w:rFonts w:hint="eastAsia" w:ascii="宋体" w:hAnsi="宋体" w:eastAsia="宋体" w:cs="宋体"/>
          <w:sz w:val="24"/>
          <w:szCs w:val="24"/>
        </w:rPr>
        <w:t>（四）响应文件的提交</w:t>
      </w:r>
      <w:bookmarkEnd w:id="64"/>
    </w:p>
    <w:p>
      <w:pPr>
        <w:spacing w:line="430" w:lineRule="exact"/>
        <w:ind w:firstLine="480" w:firstLineChars="200"/>
        <w:rPr>
          <w:rFonts w:ascii="宋体" w:hAnsi="宋体"/>
          <w:sz w:val="24"/>
          <w:szCs w:val="24"/>
        </w:rPr>
      </w:pPr>
      <w:bookmarkStart w:id="65"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5"/>
    </w:p>
    <w:p>
      <w:pPr>
        <w:tabs>
          <w:tab w:val="left" w:pos="900"/>
        </w:tabs>
        <w:spacing w:line="430" w:lineRule="exact"/>
        <w:ind w:firstLine="480" w:firstLineChars="200"/>
        <w:rPr>
          <w:rFonts w:ascii="宋体" w:hAnsi="宋体"/>
          <w:sz w:val="24"/>
          <w:szCs w:val="24"/>
        </w:rPr>
      </w:pPr>
      <w:bookmarkStart w:id="66"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pPr>
        <w:pageBreakBefore w:val="0"/>
        <w:widowControl w:val="0"/>
        <w:tabs>
          <w:tab w:val="left" w:pos="900"/>
        </w:tabs>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6"/>
    </w:p>
    <w:bookmarkEnd w:id="57"/>
    <w:bookmarkEnd w:id="58"/>
    <w:p>
      <w:pPr>
        <w:pageBreakBefore w:val="0"/>
        <w:widowControl w:val="0"/>
        <w:kinsoku/>
        <w:wordWrap/>
        <w:overflowPunct/>
        <w:topLinePunct w:val="0"/>
        <w:autoSpaceDE/>
        <w:autoSpaceDN/>
        <w:bidi w:val="0"/>
        <w:snapToGrid/>
        <w:spacing w:line="410" w:lineRule="exact"/>
        <w:ind w:firstLine="480" w:firstLineChars="200"/>
        <w:rPr>
          <w:rFonts w:ascii="宋体" w:hAnsi="宋体" w:cs="Arial"/>
          <w:sz w:val="24"/>
          <w:szCs w:val="24"/>
        </w:rPr>
      </w:pPr>
      <w:bookmarkStart w:id="67"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（5）因重大变故，采购任务取消的。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rPr>
        <w:t>进行公告。</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7"/>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68" w:name="_Toc8394"/>
      <w:r>
        <w:rPr>
          <w:rFonts w:hint="eastAsia" w:ascii="宋体" w:hAnsi="宋体" w:eastAsia="宋体" w:cs="宋体"/>
          <w:sz w:val="24"/>
          <w:szCs w:val="24"/>
        </w:rPr>
        <w:t>（八）合同的签订</w:t>
      </w:r>
      <w:bookmarkEnd w:id="68"/>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69" w:name="_Toc30371"/>
      <w:r>
        <w:rPr>
          <w:rFonts w:hint="eastAsia" w:ascii="宋体" w:hAnsi="宋体" w:eastAsia="宋体" w:cs="宋体"/>
          <w:sz w:val="24"/>
          <w:szCs w:val="24"/>
        </w:rPr>
        <w:t>（九）澄清及变更</w:t>
      </w:r>
      <w:bookmarkEnd w:id="69"/>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70" w:name="_Toc14936"/>
      <w:r>
        <w:rPr>
          <w:rFonts w:hint="eastAsia" w:ascii="宋体" w:hAnsi="宋体" w:eastAsia="宋体" w:cs="宋体"/>
          <w:sz w:val="24"/>
          <w:szCs w:val="24"/>
        </w:rPr>
        <w:t>（十）验收</w:t>
      </w:r>
      <w:bookmarkEnd w:id="70"/>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71"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1"/>
    </w:p>
    <w:p>
      <w:pPr>
        <w:spacing w:line="430" w:lineRule="exact"/>
        <w:ind w:firstLine="480" w:firstLineChars="200"/>
        <w:rPr>
          <w:rFonts w:ascii="宋体" w:hAnsi="宋体"/>
          <w:bCs/>
          <w:sz w:val="24"/>
        </w:rPr>
      </w:pPr>
      <w:bookmarkStart w:id="72"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6"/>
        <w:spacing w:before="0" w:after="0" w:line="560" w:lineRule="exact"/>
        <w:jc w:val="center"/>
        <w:rPr>
          <w:rFonts w:ascii="宋体" w:hAnsi="宋体" w:eastAsia="宋体" w:cs="宋体"/>
          <w:sz w:val="28"/>
          <w:szCs w:val="28"/>
        </w:rPr>
      </w:pPr>
      <w:bookmarkStart w:id="73" w:name="_Toc5573"/>
      <w:r>
        <w:rPr>
          <w:rFonts w:hint="eastAsia" w:ascii="宋体" w:hAnsi="宋体" w:eastAsia="宋体" w:cs="宋体"/>
          <w:sz w:val="28"/>
          <w:szCs w:val="28"/>
        </w:rPr>
        <w:t>二、采购合同</w:t>
      </w:r>
      <w:bookmarkEnd w:id="73"/>
    </w:p>
    <w:bookmarkEnd w:id="72"/>
    <w:p>
      <w:pPr>
        <w:pStyle w:val="29"/>
        <w:jc w:val="center"/>
        <w:rPr>
          <w:rFonts w:hint="eastAsia" w:eastAsia="宋体"/>
          <w:lang w:eastAsia="zh-CN"/>
        </w:rPr>
      </w:pPr>
      <w:bookmarkStart w:id="74" w:name="_Toc18672"/>
      <w:bookmarkStart w:id="75"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pPr>
        <w:pStyle w:val="6"/>
        <w:numPr>
          <w:ilvl w:val="0"/>
          <w:numId w:val="3"/>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74"/>
    </w:p>
    <w:p>
      <w:pPr>
        <w:pStyle w:val="3"/>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rPr>
          <w:rFonts w:ascii="宋体" w:hAnsi="宋体" w:cs="宋体"/>
          <w:sz w:val="28"/>
          <w:szCs w:val="28"/>
        </w:rPr>
      </w:pPr>
      <w:r>
        <w:rPr>
          <w:rFonts w:hint="eastAsia" w:ascii="宋体" w:hAnsi="宋体" w:cs="宋体"/>
          <w:sz w:val="28"/>
          <w:szCs w:val="28"/>
        </w:rPr>
        <w:br w:type="page"/>
      </w:r>
    </w:p>
    <w:p>
      <w:pPr>
        <w:pStyle w:val="6"/>
        <w:spacing w:before="0" w:after="0" w:line="560" w:lineRule="exact"/>
        <w:jc w:val="center"/>
        <w:rPr>
          <w:rFonts w:ascii="宋体" w:hAnsi="宋体" w:eastAsia="宋体" w:cs="宋体"/>
          <w:sz w:val="28"/>
          <w:szCs w:val="28"/>
        </w:rPr>
      </w:pPr>
      <w:bookmarkStart w:id="76" w:name="_Toc12600"/>
      <w:r>
        <w:rPr>
          <w:rFonts w:hint="eastAsia" w:ascii="宋体" w:hAnsi="宋体" w:eastAsia="宋体" w:cs="宋体"/>
          <w:sz w:val="28"/>
          <w:szCs w:val="28"/>
        </w:rPr>
        <w:t>四、响应文件格式</w:t>
      </w:r>
      <w:bookmarkEnd w:id="76"/>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5"/>
    <w:p>
      <w:pPr>
        <w:pStyle w:val="6"/>
        <w:spacing w:before="0" w:after="0" w:line="560" w:lineRule="exact"/>
        <w:jc w:val="center"/>
        <w:rPr>
          <w:rFonts w:ascii="宋体" w:hAnsi="宋体" w:eastAsia="宋体" w:cs="宋体"/>
          <w:sz w:val="24"/>
          <w:szCs w:val="24"/>
        </w:rPr>
      </w:pPr>
      <w:bookmarkStart w:id="77" w:name="_Toc3949"/>
      <w:r>
        <w:rPr>
          <w:rFonts w:hint="eastAsia" w:ascii="宋体" w:hAnsi="宋体" w:eastAsia="宋体" w:cs="宋体"/>
          <w:sz w:val="24"/>
          <w:szCs w:val="24"/>
        </w:rPr>
        <w:t>响应文件资料清单</w:t>
      </w:r>
      <w:bookmarkEnd w:id="77"/>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3"/>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3"/>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hint="eastAsia" w:ascii="宋体" w:hAnsi="宋体" w:eastAsia="宋体" w:cs="宋体"/>
                <w:sz w:val="24"/>
                <w:lang w:val="en-US" w:eastAsia="zh-CN"/>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78" w:name="_Toc970"/>
      <w:r>
        <w:rPr>
          <w:rFonts w:hint="eastAsia" w:ascii="宋体" w:hAnsi="宋体" w:eastAsia="宋体" w:cs="宋体"/>
          <w:sz w:val="24"/>
          <w:szCs w:val="24"/>
        </w:rPr>
        <w:t>附件一</w:t>
      </w:r>
      <w:bookmarkEnd w:id="78"/>
    </w:p>
    <w:p>
      <w:pPr>
        <w:pStyle w:val="6"/>
        <w:spacing w:before="0" w:after="0" w:line="560" w:lineRule="exact"/>
        <w:ind w:firstLine="482" w:firstLineChars="200"/>
        <w:jc w:val="center"/>
        <w:rPr>
          <w:rFonts w:ascii="宋体" w:hAnsi="宋体" w:eastAsia="宋体" w:cs="宋体"/>
          <w:sz w:val="24"/>
          <w:szCs w:val="24"/>
        </w:rPr>
      </w:pPr>
      <w:bookmarkStart w:id="79" w:name="_Toc10816"/>
      <w:bookmarkStart w:id="80" w:name="_Toc5601"/>
      <w:bookmarkStart w:id="81" w:name="_Toc6891"/>
      <w:r>
        <w:rPr>
          <w:rFonts w:hint="eastAsia" w:ascii="宋体" w:hAnsi="宋体" w:eastAsia="宋体" w:cs="宋体"/>
          <w:sz w:val="24"/>
          <w:szCs w:val="24"/>
        </w:rPr>
        <w:t>1、报价单</w:t>
      </w:r>
      <w:bookmarkEnd w:id="79"/>
      <w:bookmarkEnd w:id="80"/>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pPr>
      <w:r>
        <w:rPr>
          <w:rFonts w:hint="eastAsia" w:ascii="宋体" w:hAnsi="宋体"/>
          <w:b/>
          <w:bCs/>
          <w:sz w:val="24"/>
          <w:szCs w:val="28"/>
        </w:rPr>
        <w:t>日  期：   年   月   日</w:t>
      </w:r>
    </w:p>
    <w:p>
      <w:pPr>
        <w:pStyle w:val="6"/>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6"/>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pPr>
        <w:pStyle w:val="2"/>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6"/>
        <w:wordWrap w:val="0"/>
        <w:spacing w:before="0" w:after="0" w:line="560" w:lineRule="exact"/>
        <w:rPr>
          <w:rFonts w:hint="eastAsia" w:ascii="宋体" w:hAnsi="宋体" w:eastAsia="宋体" w:cs="宋体"/>
          <w:sz w:val="24"/>
          <w:szCs w:val="24"/>
        </w:rPr>
      </w:pPr>
    </w:p>
    <w:p>
      <w:pPr>
        <w:pStyle w:val="6"/>
        <w:wordWrap w:val="0"/>
        <w:spacing w:before="0" w:after="0" w:line="560" w:lineRule="exact"/>
        <w:rPr>
          <w:rFonts w:hint="eastAsia" w:ascii="宋体" w:hAnsi="宋体" w:eastAsia="宋体" w:cs="宋体"/>
          <w:sz w:val="24"/>
          <w:szCs w:val="24"/>
        </w:rPr>
      </w:pPr>
      <w:r>
        <w:rPr>
          <w:rFonts w:hint="eastAsia" w:ascii="宋体" w:hAnsi="宋体" w:eastAsia="宋体" w:cs="宋体"/>
          <w:sz w:val="24"/>
          <w:szCs w:val="24"/>
        </w:rPr>
        <w:t>附件二</w:t>
      </w:r>
      <w:bookmarkEnd w:id="81"/>
      <w:bookmarkStart w:id="82" w:name="_Toc17280"/>
      <w:bookmarkStart w:id="83" w:name="_Toc31020"/>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供应商基本信息</w:t>
      </w:r>
      <w:bookmarkEnd w:id="82"/>
      <w:bookmarkEnd w:id="83"/>
    </w:p>
    <w:p>
      <w:pPr>
        <w:jc w:val="center"/>
        <w:rPr>
          <w:rFonts w:hint="eastAsia" w:eastAsia="宋体"/>
          <w:lang w:eastAsia="zh-CN"/>
        </w:rPr>
      </w:pPr>
      <w:r>
        <w:rPr>
          <w:rFonts w:hint="eastAsia" w:ascii="宋体" w:hAnsi="宋体" w:cs="宋体"/>
          <w:sz w:val="24"/>
          <w:szCs w:val="24"/>
          <w:lang w:eastAsia="zh-CN"/>
        </w:rPr>
        <w:t>（格式自拟）</w:t>
      </w:r>
    </w:p>
    <w:p>
      <w:pPr>
        <w:pStyle w:val="2"/>
        <w:spacing w:line="520" w:lineRule="exact"/>
        <w:ind w:firstLine="480" w:firstLineChars="200"/>
        <w:rPr>
          <w:rFonts w:ascii="宋体" w:hAnsi="宋体"/>
          <w:szCs w:val="24"/>
        </w:rPr>
      </w:pPr>
      <w:r>
        <w:rPr>
          <w:rFonts w:hint="eastAsia" w:ascii="宋体" w:hAnsi="宋体"/>
          <w:szCs w:val="24"/>
        </w:rPr>
        <w:t>后附营业执照、资质证书、安全生产许可证、项目经理建造师证书</w:t>
      </w:r>
      <w:r>
        <w:rPr>
          <w:rFonts w:hint="eastAsia" w:ascii="宋体" w:hAnsi="宋体"/>
          <w:szCs w:val="24"/>
          <w:lang w:eastAsia="zh-CN"/>
        </w:rPr>
        <w:t>及社保</w:t>
      </w:r>
      <w:r>
        <w:rPr>
          <w:rFonts w:hint="eastAsia" w:ascii="宋体" w:hAnsi="宋体"/>
          <w:szCs w:val="24"/>
        </w:rPr>
        <w:t>、项目经理安全生产考核合格证书、</w:t>
      </w:r>
      <w:r>
        <w:rPr>
          <w:rFonts w:hint="eastAsia" w:ascii="宋体" w:hAnsi="宋体"/>
          <w:szCs w:val="24"/>
          <w:lang w:eastAsia="zh-CN"/>
        </w:rPr>
        <w:t>技术负责人资格证书及社保、</w:t>
      </w:r>
      <w:r>
        <w:rPr>
          <w:rFonts w:hint="eastAsia" w:ascii="宋体" w:hAnsi="宋体"/>
          <w:szCs w:val="24"/>
        </w:rPr>
        <w:t>项目班子</w:t>
      </w:r>
      <w:r>
        <w:rPr>
          <w:rFonts w:hint="eastAsia" w:ascii="宋体" w:hAnsi="宋体"/>
          <w:szCs w:val="24"/>
          <w:lang w:eastAsia="zh-CN"/>
        </w:rPr>
        <w:t>配备</w:t>
      </w:r>
      <w:r>
        <w:rPr>
          <w:rFonts w:hint="eastAsia" w:ascii="宋体" w:hAnsi="宋体"/>
          <w:szCs w:val="24"/>
        </w:rPr>
        <w:t>等资料复印件或打印件。</w:t>
      </w:r>
    </w:p>
    <w:p>
      <w:pPr>
        <w:spacing w:line="360" w:lineRule="auto"/>
        <w:jc w:val="center"/>
      </w:pPr>
    </w:p>
    <w:p>
      <w:pPr>
        <w:pStyle w:val="6"/>
        <w:wordWrap w:val="0"/>
        <w:spacing w:before="0" w:after="0" w:line="560" w:lineRule="exact"/>
        <w:rPr>
          <w:rFonts w:ascii="宋体" w:hAnsi="宋体" w:eastAsia="宋体" w:cs="宋体"/>
          <w:sz w:val="24"/>
          <w:szCs w:val="24"/>
        </w:rPr>
      </w:pPr>
      <w:bookmarkStart w:id="84" w:name="_Toc30812"/>
      <w:r>
        <w:rPr>
          <w:rFonts w:hint="eastAsia" w:ascii="宋体" w:hAnsi="宋体" w:eastAsia="宋体" w:cs="宋体"/>
          <w:sz w:val="24"/>
          <w:szCs w:val="24"/>
        </w:rPr>
        <w:t>附件三</w:t>
      </w:r>
      <w:bookmarkEnd w:id="84"/>
    </w:p>
    <w:p>
      <w:pPr>
        <w:pStyle w:val="6"/>
        <w:spacing w:before="0" w:after="0" w:line="560" w:lineRule="exact"/>
        <w:jc w:val="center"/>
        <w:rPr>
          <w:rFonts w:ascii="宋体" w:hAnsi="宋体" w:eastAsia="宋体" w:cs="宋体"/>
          <w:sz w:val="24"/>
          <w:szCs w:val="24"/>
        </w:rPr>
      </w:pPr>
      <w:bookmarkStart w:id="85" w:name="_Toc10696"/>
      <w:bookmarkStart w:id="86" w:name="_Toc3234"/>
      <w:r>
        <w:rPr>
          <w:rFonts w:hint="eastAsia" w:ascii="宋体" w:hAnsi="宋体" w:eastAsia="宋体" w:cs="宋体"/>
          <w:sz w:val="24"/>
          <w:szCs w:val="24"/>
        </w:rPr>
        <w:t>谈判授权书</w:t>
      </w:r>
      <w:bookmarkEnd w:id="85"/>
      <w:bookmarkEnd w:id="86"/>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28" w:firstLineChars="1762"/>
        <w:rPr>
          <w:rFonts w:ascii="宋体" w:hAnsi="宋体"/>
          <w:b w:val="0"/>
          <w:bCs w:val="0"/>
          <w:sz w:val="24"/>
          <w:szCs w:val="24"/>
          <w:u w:val="single"/>
        </w:rPr>
      </w:pPr>
      <w:r>
        <w:rPr>
          <w:rFonts w:hint="eastAsia" w:ascii="宋体" w:hAnsi="宋体"/>
          <w:b w:val="0"/>
          <w:bCs w:val="0"/>
          <w:sz w:val="24"/>
          <w:szCs w:val="24"/>
        </w:rPr>
        <w:t>供应商盖章：</w:t>
      </w:r>
    </w:p>
    <w:p>
      <w:pPr>
        <w:tabs>
          <w:tab w:val="left" w:pos="630"/>
        </w:tabs>
        <w:spacing w:line="360" w:lineRule="auto"/>
        <w:ind w:firstLine="4228" w:firstLineChars="1762"/>
        <w:rPr>
          <w:rFonts w:ascii="宋体" w:hAnsi="宋体"/>
          <w:b w:val="0"/>
          <w:bCs w:val="0"/>
          <w:sz w:val="24"/>
          <w:szCs w:val="24"/>
        </w:rPr>
      </w:pPr>
      <w:r>
        <w:rPr>
          <w:rFonts w:hint="eastAsia" w:ascii="宋体" w:hAnsi="宋体"/>
          <w:b w:val="0"/>
          <w:bCs w:val="0"/>
          <w:sz w:val="24"/>
          <w:szCs w:val="24"/>
        </w:rPr>
        <w:t>日期：</w:t>
      </w:r>
    </w:p>
    <w:p>
      <w:pPr>
        <w:spacing w:line="360" w:lineRule="auto"/>
        <w:rPr>
          <w:rFonts w:ascii="宋体" w:hAnsi="宋体" w:cs="宋体"/>
          <w:b w:val="0"/>
          <w:bCs/>
          <w:sz w:val="24"/>
          <w:szCs w:val="24"/>
        </w:rPr>
      </w:pPr>
      <w:bookmarkStart w:id="87" w:name="_Toc15172"/>
      <w:r>
        <w:rPr>
          <w:rFonts w:hint="eastAsia" w:ascii="宋体" w:hAnsi="宋体" w:cs="宋体"/>
          <w:b w:val="0"/>
          <w:bCs/>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537" w:firstLineChars="224"/>
        <w:rPr>
          <w:rFonts w:ascii="宋体" w:hAnsi="宋体" w:cs="宋体"/>
          <w:b w:val="0"/>
          <w:bCs/>
          <w:sz w:val="24"/>
          <w:szCs w:val="24"/>
          <w:u w:val="single"/>
        </w:rPr>
      </w:pPr>
      <w:r>
        <w:rPr>
          <w:rFonts w:hint="eastAsia" w:ascii="宋体" w:hAnsi="宋体" w:cs="宋体"/>
          <w:b w:val="0"/>
          <w:bCs/>
          <w:sz w:val="24"/>
          <w:szCs w:val="24"/>
        </w:rPr>
        <w:t>法定代表人手机号码：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537" w:firstLineChars="224"/>
        <w:rPr>
          <w:rFonts w:ascii="宋体" w:hAnsi="宋体" w:cs="宋体"/>
          <w:b/>
          <w:sz w:val="24"/>
          <w:szCs w:val="24"/>
        </w:rPr>
      </w:pPr>
      <w:r>
        <w:rPr>
          <w:rFonts w:hint="eastAsia" w:ascii="宋体" w:hAnsi="宋体" w:cs="宋体"/>
          <w:b w:val="0"/>
          <w:bCs/>
          <w:sz w:val="24"/>
          <w:szCs w:val="24"/>
        </w:rPr>
        <w:t>法定代表人办公电话：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sz w:val="24"/>
          <w:szCs w:val="24"/>
        </w:rPr>
      </w:pPr>
    </w:p>
    <w:p>
      <w:pPr>
        <w:spacing w:line="360" w:lineRule="auto"/>
        <w:ind w:firstLine="480" w:firstLineChars="200"/>
        <w:rPr>
          <w:rFonts w:ascii="宋体" w:hAnsi="宋体" w:cs="宋体"/>
          <w:b w:val="0"/>
          <w:bCs/>
          <w:sz w:val="24"/>
          <w:szCs w:val="24"/>
          <w:u w:val="single"/>
        </w:rPr>
      </w:pPr>
      <w:r>
        <w:rPr>
          <w:rFonts w:hint="eastAsia" w:ascii="宋体" w:hAnsi="宋体" w:cs="宋体"/>
          <w:b w:val="0"/>
          <w:bCs/>
          <w:sz w:val="24"/>
          <w:szCs w:val="24"/>
        </w:rPr>
        <w:t>代理人（被授权人）手机号码：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480" w:firstLineChars="200"/>
        <w:rPr>
          <w:rFonts w:ascii="宋体" w:hAnsi="宋体" w:cs="宋体"/>
          <w:b w:val="0"/>
          <w:bCs/>
          <w:sz w:val="24"/>
          <w:szCs w:val="24"/>
        </w:rPr>
      </w:pPr>
      <w:r>
        <w:rPr>
          <w:rFonts w:hint="eastAsia" w:ascii="宋体" w:hAnsi="宋体" w:cs="宋体"/>
          <w:b w:val="0"/>
          <w:bCs/>
          <w:sz w:val="24"/>
          <w:szCs w:val="24"/>
        </w:rPr>
        <w:t>代理人（被授权人）办公电话：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pStyle w:val="17"/>
        <w:rPr>
          <w:rFonts w:hAnsi="宋体" w:cs="宋体"/>
          <w:b w:val="0"/>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特殊说明：</w:t>
      </w:r>
    </w:p>
    <w:p>
      <w:pPr>
        <w:spacing w:line="360" w:lineRule="auto"/>
        <w:rPr>
          <w:rFonts w:ascii="宋体" w:hAnsi="宋体" w:cs="宋体"/>
          <w:b w:val="0"/>
          <w:bCs/>
          <w:sz w:val="24"/>
          <w:szCs w:val="24"/>
        </w:rPr>
      </w:pPr>
      <w:r>
        <w:rPr>
          <w:rFonts w:hint="eastAsia" w:ascii="宋体" w:hAnsi="宋体" w:cs="宋体"/>
          <w:b w:val="0"/>
          <w:bCs/>
          <w:sz w:val="24"/>
          <w:szCs w:val="24"/>
        </w:rPr>
        <w:t>1、上述身份证复印件必须清晰；</w:t>
      </w:r>
    </w:p>
    <w:p>
      <w:pPr>
        <w:spacing w:line="360" w:lineRule="auto"/>
        <w:rPr>
          <w:rFonts w:ascii="宋体" w:hAnsi="宋体" w:cs="宋体"/>
          <w:b w:val="0"/>
          <w:bCs/>
          <w:sz w:val="24"/>
          <w:szCs w:val="24"/>
        </w:rPr>
      </w:pPr>
      <w:r>
        <w:rPr>
          <w:rFonts w:hint="eastAsia" w:ascii="宋体" w:hAnsi="宋体" w:cs="宋体"/>
          <w:b w:val="0"/>
          <w:bCs/>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87"/>
    </w:p>
    <w:p>
      <w:pPr>
        <w:pStyle w:val="6"/>
        <w:spacing w:before="0" w:after="0" w:line="560" w:lineRule="exact"/>
        <w:jc w:val="center"/>
        <w:rPr>
          <w:rFonts w:ascii="宋体" w:hAnsi="宋体" w:eastAsia="宋体" w:cs="宋体"/>
          <w:sz w:val="24"/>
          <w:szCs w:val="24"/>
        </w:rPr>
      </w:pPr>
      <w:bookmarkStart w:id="88"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b w:val="0"/>
          <w:bCs w:val="0"/>
          <w:sz w:val="24"/>
          <w:szCs w:val="24"/>
        </w:rPr>
      </w:pPr>
    </w:p>
    <w:p>
      <w:pPr>
        <w:spacing w:line="360" w:lineRule="auto"/>
        <w:ind w:firstLine="4228" w:firstLineChars="1762"/>
        <w:rPr>
          <w:rFonts w:ascii="宋体" w:hAnsi="宋体"/>
          <w:b w:val="0"/>
          <w:bCs w:val="0"/>
          <w:sz w:val="24"/>
          <w:szCs w:val="24"/>
          <w:u w:val="single"/>
        </w:rPr>
      </w:pPr>
      <w:r>
        <w:rPr>
          <w:rFonts w:hint="eastAsia" w:ascii="宋体" w:hAnsi="宋体"/>
          <w:b w:val="0"/>
          <w:bCs w:val="0"/>
          <w:sz w:val="24"/>
          <w:szCs w:val="24"/>
        </w:rPr>
        <w:t>供应商盖章：</w:t>
      </w:r>
    </w:p>
    <w:p>
      <w:pPr>
        <w:tabs>
          <w:tab w:val="left" w:pos="630"/>
        </w:tabs>
        <w:spacing w:line="360" w:lineRule="auto"/>
        <w:ind w:firstLine="4228" w:firstLineChars="1762"/>
        <w:rPr>
          <w:rFonts w:ascii="宋体" w:hAnsi="宋体"/>
          <w:b w:val="0"/>
          <w:bCs w:val="0"/>
          <w:sz w:val="24"/>
          <w:szCs w:val="24"/>
        </w:rPr>
      </w:pPr>
      <w:r>
        <w:rPr>
          <w:rFonts w:hint="eastAsia" w:ascii="宋体" w:hAnsi="宋体"/>
          <w:b w:val="0"/>
          <w:bCs w:val="0"/>
          <w:sz w:val="24"/>
          <w:szCs w:val="24"/>
        </w:rPr>
        <w:t>日期：</w:t>
      </w:r>
    </w:p>
    <w:p>
      <w:pPr>
        <w:pStyle w:val="7"/>
        <w:rPr>
          <w:sz w:val="24"/>
          <w:szCs w:val="24"/>
          <w:lang w:val="en-US"/>
        </w:rPr>
      </w:pPr>
    </w:p>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89" w:name="_Toc30069"/>
      <w:r>
        <w:rPr>
          <w:rFonts w:hint="eastAsia" w:ascii="宋体" w:hAnsi="宋体" w:eastAsia="宋体" w:cs="宋体"/>
          <w:sz w:val="24"/>
          <w:szCs w:val="24"/>
        </w:rPr>
        <w:t>附件</w:t>
      </w:r>
      <w:bookmarkEnd w:id="88"/>
      <w:r>
        <w:rPr>
          <w:rFonts w:hint="eastAsia" w:ascii="宋体" w:hAnsi="宋体" w:eastAsia="宋体" w:cs="宋体"/>
          <w:sz w:val="24"/>
          <w:szCs w:val="24"/>
        </w:rPr>
        <w:t>五</w:t>
      </w:r>
      <w:bookmarkEnd w:id="89"/>
    </w:p>
    <w:p>
      <w:pPr>
        <w:pStyle w:val="2"/>
        <w:ind w:firstLine="2891" w:firstLineChars="1200"/>
        <w:rPr>
          <w:rFonts w:ascii="宋体" w:hAnsi="宋体" w:cs="宋体"/>
          <w:b/>
          <w:szCs w:val="24"/>
          <w:lang w:val="zh-CN"/>
        </w:rPr>
      </w:pPr>
      <w:bookmarkStart w:id="90" w:name="_Hlk77794441"/>
      <w:bookmarkStart w:id="91" w:name="_Hlk77793942"/>
      <w:bookmarkStart w:id="92"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93"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3"/>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4"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0"/>
    <w:bookmarkEnd w:id="94"/>
    <w:p>
      <w:pPr>
        <w:pStyle w:val="2"/>
        <w:ind w:firstLine="210"/>
      </w:pPr>
    </w:p>
    <w:bookmarkEnd w:id="91"/>
    <w:p>
      <w:pPr>
        <w:pStyle w:val="2"/>
        <w:ind w:firstLine="210"/>
      </w:pPr>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5" w:name="_Toc11207"/>
      <w:r>
        <w:rPr>
          <w:rFonts w:hint="eastAsia" w:ascii="宋体" w:hAnsi="宋体" w:eastAsia="宋体" w:cs="宋体"/>
          <w:sz w:val="24"/>
          <w:szCs w:val="24"/>
        </w:rPr>
        <w:t>附件</w:t>
      </w:r>
      <w:bookmarkEnd w:id="92"/>
      <w:r>
        <w:rPr>
          <w:rFonts w:hint="eastAsia" w:ascii="宋体" w:hAnsi="宋体" w:eastAsia="宋体" w:cs="宋体"/>
          <w:sz w:val="24"/>
          <w:szCs w:val="24"/>
        </w:rPr>
        <w:t>六</w:t>
      </w:r>
      <w:bookmarkEnd w:id="95"/>
    </w:p>
    <w:p>
      <w:pPr>
        <w:pStyle w:val="6"/>
        <w:spacing w:before="0" w:after="0" w:line="560" w:lineRule="exact"/>
        <w:jc w:val="center"/>
        <w:rPr>
          <w:rFonts w:ascii="宋体" w:hAnsi="宋体" w:eastAsia="宋体" w:cs="宋体"/>
          <w:sz w:val="24"/>
          <w:szCs w:val="24"/>
          <w:lang w:val="zh-CN"/>
        </w:rPr>
      </w:pPr>
      <w:bookmarkStart w:id="96" w:name="_Toc25238"/>
      <w:bookmarkStart w:id="97" w:name="_Toc11166"/>
      <w:r>
        <w:rPr>
          <w:rFonts w:hint="eastAsia" w:ascii="宋体" w:hAnsi="宋体" w:eastAsia="宋体" w:cs="宋体"/>
          <w:sz w:val="24"/>
          <w:szCs w:val="24"/>
          <w:lang w:val="zh-CN"/>
        </w:rPr>
        <w:t>响应情况表</w:t>
      </w:r>
      <w:bookmarkEnd w:id="96"/>
      <w:bookmarkEnd w:id="97"/>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98"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val="0"/>
          <w:bCs w:val="0"/>
          <w:sz w:val="24"/>
          <w:szCs w:val="24"/>
        </w:rPr>
      </w:pPr>
      <w:r>
        <w:rPr>
          <w:rFonts w:hint="eastAsia" w:ascii="宋体" w:hAnsi="宋体" w:cs="宋体"/>
          <w:b w:val="0"/>
          <w:bCs w:val="0"/>
          <w:sz w:val="24"/>
          <w:szCs w:val="24"/>
        </w:rPr>
        <w:t>供应商盖章：</w:t>
      </w:r>
    </w:p>
    <w:p>
      <w:pPr>
        <w:spacing w:line="360" w:lineRule="auto"/>
        <w:jc w:val="left"/>
        <w:rPr>
          <w:rFonts w:ascii="宋体" w:hAnsi="宋体" w:cs="宋体"/>
          <w:b w:val="0"/>
          <w:bCs w:val="0"/>
          <w:sz w:val="24"/>
          <w:szCs w:val="24"/>
        </w:rPr>
      </w:pPr>
      <w:r>
        <w:rPr>
          <w:rFonts w:hint="eastAsia" w:ascii="宋体" w:hAnsi="宋体" w:cs="宋体"/>
          <w:b w:val="0"/>
          <w:bCs w:val="0"/>
          <w:sz w:val="24"/>
          <w:szCs w:val="24"/>
        </w:rPr>
        <w:t>日期：   年  月  日</w:t>
      </w:r>
    </w:p>
    <w:p>
      <w:pPr>
        <w:spacing w:before="156" w:beforeLines="50" w:after="156" w:afterLines="50" w:line="360" w:lineRule="auto"/>
        <w:rPr>
          <w:rFonts w:ascii="宋体" w:hAnsi="宋体" w:cs="宋体"/>
          <w:b w:val="0"/>
          <w:bCs w:val="0"/>
          <w:sz w:val="24"/>
          <w:szCs w:val="24"/>
        </w:rPr>
      </w:pPr>
      <w:r>
        <w:rPr>
          <w:rFonts w:hint="eastAsia" w:ascii="宋体" w:hAnsi="宋体" w:cs="宋体"/>
          <w:b w:val="0"/>
          <w:bCs w:val="0"/>
          <w:sz w:val="24"/>
          <w:szCs w:val="24"/>
        </w:rPr>
        <w:t>本项目不接受负偏离。</w:t>
      </w:r>
    </w:p>
    <w:p>
      <w:pPr>
        <w:pStyle w:val="7"/>
        <w:spacing w:before="0" w:after="0"/>
        <w:rPr>
          <w:b w:val="0"/>
          <w:bCs w:val="0"/>
          <w:sz w:val="24"/>
          <w:szCs w:val="24"/>
        </w:rPr>
      </w:pPr>
      <w:r>
        <w:rPr>
          <w:rFonts w:hint="eastAsia"/>
          <w:b w:val="0"/>
          <w:bCs w:val="0"/>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99" w:name="_Toc12917"/>
      <w:r>
        <w:rPr>
          <w:rFonts w:hint="eastAsia" w:ascii="宋体" w:hAnsi="宋体" w:eastAsia="宋体" w:cs="宋体"/>
          <w:sz w:val="24"/>
          <w:szCs w:val="24"/>
        </w:rPr>
        <w:t>附件</w:t>
      </w:r>
      <w:bookmarkEnd w:id="98"/>
      <w:r>
        <w:rPr>
          <w:rFonts w:hint="eastAsia" w:ascii="宋体" w:hAnsi="宋体" w:eastAsia="宋体" w:cs="宋体"/>
          <w:sz w:val="24"/>
          <w:szCs w:val="24"/>
        </w:rPr>
        <w:t>七</w:t>
      </w:r>
      <w:bookmarkEnd w:id="99"/>
      <w:bookmarkStart w:id="100" w:name="_Toc18625"/>
      <w:bookmarkStart w:id="101"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0"/>
      <w:bookmarkEnd w:id="101"/>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02"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r>
        <w:rPr>
          <w:rFonts w:hint="eastAsia" w:ascii="宋体" w:hAnsi="宋体"/>
          <w:b/>
          <w:color w:val="auto"/>
          <w:sz w:val="28"/>
          <w:szCs w:val="28"/>
          <w:lang w:eastAsia="zh-CN"/>
        </w:rPr>
        <w:t>（</w:t>
      </w:r>
      <w:r>
        <w:rPr>
          <w:rFonts w:hint="eastAsia" w:ascii="宋体" w:hAnsi="宋体"/>
          <w:b/>
          <w:color w:val="auto"/>
          <w:sz w:val="28"/>
          <w:szCs w:val="28"/>
          <w:lang w:val="en-US" w:eastAsia="zh-CN"/>
        </w:rPr>
        <w:t>二</w:t>
      </w:r>
      <w:r>
        <w:rPr>
          <w:rFonts w:hint="eastAsia" w:ascii="宋体" w:hAnsi="宋体"/>
          <w:b/>
          <w:color w:val="auto"/>
          <w:sz w:val="28"/>
          <w:szCs w:val="28"/>
          <w:lang w:eastAsia="zh-CN"/>
        </w:rPr>
        <w:t>）</w:t>
      </w:r>
      <w:r>
        <w:rPr>
          <w:rFonts w:hint="eastAsia" w:ascii="宋体" w:hAnsi="宋体"/>
          <w:b/>
          <w:color w:val="auto"/>
          <w:sz w:val="28"/>
          <w:szCs w:val="28"/>
        </w:rPr>
        <w:t>无在建承诺函</w:t>
      </w:r>
    </w:p>
    <w:p>
      <w:pPr>
        <w:widowControl/>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pPr>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pPr>
        <w:jc w:val="center"/>
        <w:rPr>
          <w:rFonts w:hint="eastAsia" w:ascii="宋体" w:hAnsi="宋体" w:cs="宋体"/>
          <w:color w:val="auto"/>
          <w:kern w:val="0"/>
          <w:sz w:val="24"/>
          <w:szCs w:val="24"/>
          <w:lang w:val="en-US" w:eastAsia="zh-CN"/>
        </w:rPr>
      </w:pPr>
    </w:p>
    <w:p>
      <w:pPr>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pPr>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供应商法定代表人（签名）：</w:t>
      </w:r>
    </w:p>
    <w:p>
      <w:pPr>
        <w:ind w:firstLine="5280" w:firstLineChars="2200"/>
        <w:jc w:val="both"/>
        <w:rPr>
          <w:rStyle w:val="59"/>
          <w:rFonts w:ascii="宋体" w:hAnsi="宋体" w:eastAsia="宋体" w:cs="宋体"/>
          <w:sz w:val="24"/>
          <w:szCs w:val="24"/>
        </w:rPr>
      </w:pPr>
      <w:r>
        <w:rPr>
          <w:rFonts w:hint="eastAsia" w:ascii="宋体" w:hAnsi="宋体" w:cs="宋体"/>
          <w:color w:val="auto"/>
          <w:kern w:val="0"/>
          <w:sz w:val="24"/>
          <w:szCs w:val="24"/>
        </w:rPr>
        <w:t xml:space="preserve">日      期： </w:t>
      </w:r>
      <w:r>
        <w:rPr>
          <w:rStyle w:val="59"/>
          <w:rFonts w:hint="eastAsia" w:ascii="宋体" w:hAnsi="宋体" w:eastAsia="宋体" w:cs="宋体"/>
          <w:sz w:val="24"/>
          <w:szCs w:val="24"/>
        </w:rPr>
        <w:br w:type="page"/>
      </w:r>
    </w:p>
    <w:p>
      <w:pPr>
        <w:pStyle w:val="6"/>
        <w:spacing w:before="0" w:after="0" w:line="560" w:lineRule="exact"/>
        <w:rPr>
          <w:rFonts w:hint="eastAsia" w:ascii="宋体" w:hAnsi="宋体" w:eastAsia="宋体" w:cs="宋体"/>
          <w:sz w:val="24"/>
          <w:szCs w:val="24"/>
          <w:lang w:val="en-US" w:eastAsia="zh-CN"/>
        </w:rPr>
      </w:pPr>
      <w:bookmarkStart w:id="103" w:name="_Toc3426"/>
      <w:r>
        <w:rPr>
          <w:rFonts w:hint="eastAsia" w:ascii="宋体" w:hAnsi="宋体" w:eastAsia="宋体" w:cs="宋体"/>
          <w:sz w:val="24"/>
          <w:szCs w:val="24"/>
        </w:rPr>
        <w:t>附件八</w:t>
      </w:r>
      <w:bookmarkEnd w:id="103"/>
      <w:r>
        <w:rPr>
          <w:rFonts w:hint="eastAsia" w:ascii="宋体" w:hAnsi="宋体" w:eastAsia="宋体" w:cs="宋体"/>
          <w:sz w:val="24"/>
          <w:szCs w:val="24"/>
          <w:lang w:val="en-US" w:eastAsia="zh-CN"/>
        </w:rPr>
        <w:t xml:space="preserve">  </w:t>
      </w:r>
    </w:p>
    <w:p>
      <w:pPr>
        <w:jc w:val="center"/>
        <w:rPr>
          <w:rFonts w:ascii="宋体" w:hAnsi="宋体"/>
          <w:sz w:val="24"/>
          <w:szCs w:val="24"/>
        </w:rPr>
      </w:pPr>
      <w:bookmarkStart w:id="104" w:name="_Toc28850"/>
      <w:bookmarkStart w:id="105" w:name="_Toc19723"/>
      <w:r>
        <w:rPr>
          <w:rFonts w:hint="eastAsia" w:ascii="宋体" w:hAnsi="宋体" w:eastAsia="宋体" w:cs="宋体"/>
          <w:b w:val="0"/>
          <w:bCs/>
          <w:sz w:val="24"/>
          <w:szCs w:val="24"/>
        </w:rPr>
        <w:t>谈判文件要求和供应商认为需要提供的其它说明和资料</w:t>
      </w:r>
      <w:bookmarkEnd w:id="104"/>
      <w:bookmarkEnd w:id="105"/>
    </w:p>
    <w:p>
      <w:pPr>
        <w:rPr>
          <w:rFonts w:hint="default"/>
          <w:lang w:val="en-US" w:eastAsia="zh-CN"/>
        </w:rPr>
      </w:pPr>
    </w:p>
    <w:bookmarkEnd w:id="102"/>
    <w:p>
      <w:pPr>
        <w:pStyle w:val="6"/>
        <w:spacing w:before="0" w:after="0" w:line="560" w:lineRule="exact"/>
        <w:rPr>
          <w:rStyle w:val="114"/>
          <w:rFonts w:ascii="宋体" w:hAnsi="宋体" w:eastAsia="宋体" w:cs="宋体"/>
          <w:b/>
          <w:sz w:val="24"/>
          <w:szCs w:val="24"/>
        </w:rPr>
      </w:pPr>
      <w:bookmarkStart w:id="106" w:name="_Toc5314"/>
      <w:bookmarkStart w:id="107" w:name="_Toc23763"/>
      <w:r>
        <w:rPr>
          <w:rFonts w:hint="eastAsia" w:ascii="宋体" w:hAnsi="宋体" w:eastAsia="宋体" w:cs="宋体"/>
          <w:sz w:val="24"/>
          <w:szCs w:val="24"/>
        </w:rPr>
        <w:t>附件九</w:t>
      </w:r>
      <w:bookmarkEnd w:id="106"/>
      <w:bookmarkEnd w:id="107"/>
      <w:r>
        <w:rPr>
          <w:rFonts w:hint="eastAsia" w:ascii="宋体" w:hAnsi="宋体" w:eastAsia="宋体" w:cs="宋体"/>
          <w:sz w:val="24"/>
          <w:szCs w:val="24"/>
          <w:lang w:val="en-US" w:eastAsia="zh-CN"/>
        </w:rPr>
        <w:t xml:space="preserve">                      </w:t>
      </w: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u w:val="single"/>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color w:val="auto"/>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w:t>
      </w:r>
      <w:r>
        <w:rPr>
          <w:rFonts w:hint="eastAsia" w:asciiTheme="minorEastAsia" w:hAnsiTheme="minorEastAsia" w:eastAsiaTheme="minorEastAsia" w:cstheme="minorEastAsia"/>
          <w:b/>
          <w:bCs/>
          <w:color w:val="auto"/>
          <w:sz w:val="24"/>
          <w:szCs w:val="22"/>
          <w:lang w:val="zh-CN" w:eastAsia="zh-CN"/>
        </w:rPr>
        <w:t>时价格的计算。</w:t>
      </w:r>
    </w:p>
    <w:p>
      <w:pPr>
        <w:pStyle w:val="34"/>
        <w:numPr>
          <w:ilvl w:val="0"/>
          <w:numId w:val="4"/>
        </w:numPr>
        <w:ind w:left="0" w:leftChars="0" w:firstLine="0" w:firstLineChars="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本《</w:t>
      </w:r>
      <w:r>
        <w:rPr>
          <w:rFonts w:hint="eastAsia" w:ascii="宋体" w:hAnsi="宋体" w:eastAsia="宋体" w:cs="宋体"/>
          <w:b/>
          <w:color w:val="auto"/>
          <w:sz w:val="24"/>
          <w:szCs w:val="24"/>
          <w:highlight w:val="none"/>
          <w:lang w:val="zh-CN" w:eastAsia="zh-CN"/>
        </w:rPr>
        <w:t>最终承诺报价表</w:t>
      </w:r>
      <w:r>
        <w:rPr>
          <w:rFonts w:hint="eastAsia" w:ascii="宋体" w:hAnsi="宋体" w:eastAsia="宋体" w:cs="宋体"/>
          <w:b/>
          <w:color w:val="auto"/>
          <w:sz w:val="24"/>
          <w:szCs w:val="24"/>
          <w:highlight w:val="none"/>
        </w:rPr>
        <w:t>》由</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rPr>
        <w:t>在谈判现场依谈判情况填写（勿需装订在谈判文件内）</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最终报价书由供应商在成交后提供（一式三份）。</w:t>
      </w:r>
    </w:p>
    <w:p>
      <w:pPr>
        <w:numPr>
          <w:ilvl w:val="0"/>
          <w:numId w:val="0"/>
        </w:numPr>
        <w:rPr>
          <w:bCs/>
          <w:color w:val="auto"/>
        </w:rPr>
      </w:pPr>
      <w:r>
        <w:rPr>
          <w:rFonts w:hint="eastAsia" w:ascii="宋体" w:hAnsi="宋体" w:cs="宋体"/>
          <w:b/>
          <w:color w:val="auto"/>
          <w:kern w:val="2"/>
          <w:sz w:val="24"/>
          <w:szCs w:val="24"/>
          <w:highlight w:val="none"/>
          <w:lang w:val="en-US" w:eastAsia="zh-CN" w:bidi="ar-SA"/>
        </w:rPr>
        <w:t>3、</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C04A562-5C88-4BFB-9B49-3DAE71CC32FE}"/>
  </w:font>
  <w:font w:name="黑体">
    <w:panose1 w:val="02010609060101010101"/>
    <w:charset w:val="86"/>
    <w:family w:val="auto"/>
    <w:pitch w:val="default"/>
    <w:sig w:usb0="800002BF" w:usb1="38CF7CFA" w:usb2="00000016" w:usb3="00000000" w:csb0="00040001" w:csb1="00000000"/>
    <w:embedRegular r:id="rId2" w:fontKey="{6D686AD6-6B0B-494A-8E06-C02FEF203AE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4D3DB4AC-C606-41D9-87B0-4A034611DD9B}"/>
  </w:font>
  <w:font w:name="仿宋_GB2312">
    <w:panose1 w:val="02010609030101010101"/>
    <w:charset w:val="86"/>
    <w:family w:val="auto"/>
    <w:pitch w:val="default"/>
    <w:sig w:usb0="00000001" w:usb1="080E0000" w:usb2="00000000" w:usb3="00000000" w:csb0="00040000" w:csb1="00000000"/>
    <w:embedRegular r:id="rId4" w:fontKey="{DA9B5080-A84C-486E-9E05-6305F93F4D99}"/>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06D76F50-BD07-4E0E-A8CC-54E46B62510A}"/>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F7C45F0B-B269-4BEA-ACEB-7877DBE3D5CE}"/>
  </w:font>
  <w:font w:name="华文中宋">
    <w:panose1 w:val="02010600040101010101"/>
    <w:charset w:val="86"/>
    <w:family w:val="auto"/>
    <w:pitch w:val="default"/>
    <w:sig w:usb0="00000287" w:usb1="080F0000" w:usb2="00000000" w:usb3="00000000" w:csb0="0004009F" w:csb1="DFD70000"/>
    <w:embedRegular r:id="rId7" w:fontKey="{DF8DC747-A9CD-43C3-ABF3-88C65488B699}"/>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abstractNum w:abstractNumId="1">
    <w:nsid w:val="CA921B7E"/>
    <w:multiLevelType w:val="singleLevel"/>
    <w:tmpl w:val="CA921B7E"/>
    <w:lvl w:ilvl="0" w:tentative="0">
      <w:start w:val="3"/>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pStyle w:val="6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606AFB53"/>
    <w:multiLevelType w:val="singleLevel"/>
    <w:tmpl w:val="606AFB53"/>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3ZjAxMzY3YmIwNmVmN2M5ZWUxZjUzMzY5OGE4MjE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3C8"/>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2DD7EB5"/>
    <w:rsid w:val="03052939"/>
    <w:rsid w:val="03062E20"/>
    <w:rsid w:val="0311396F"/>
    <w:rsid w:val="03B22505"/>
    <w:rsid w:val="03D23972"/>
    <w:rsid w:val="03D64DF8"/>
    <w:rsid w:val="03FE01E1"/>
    <w:rsid w:val="04067181"/>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6CE0E4D"/>
    <w:rsid w:val="07267565"/>
    <w:rsid w:val="074A602C"/>
    <w:rsid w:val="078C18B4"/>
    <w:rsid w:val="07A11279"/>
    <w:rsid w:val="07A20F5E"/>
    <w:rsid w:val="07AC22F3"/>
    <w:rsid w:val="0834567D"/>
    <w:rsid w:val="085E5B1B"/>
    <w:rsid w:val="08A72892"/>
    <w:rsid w:val="08B903E4"/>
    <w:rsid w:val="08B975E0"/>
    <w:rsid w:val="08D21CBE"/>
    <w:rsid w:val="08F55D20"/>
    <w:rsid w:val="093525C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8B0B10"/>
    <w:rsid w:val="0CAA47CE"/>
    <w:rsid w:val="0CBB102F"/>
    <w:rsid w:val="0CEC43CA"/>
    <w:rsid w:val="0D50431A"/>
    <w:rsid w:val="0D6921B0"/>
    <w:rsid w:val="0D834C7B"/>
    <w:rsid w:val="0DD74F5A"/>
    <w:rsid w:val="0DDB70DA"/>
    <w:rsid w:val="0DF624E0"/>
    <w:rsid w:val="0E21417E"/>
    <w:rsid w:val="0E346850"/>
    <w:rsid w:val="0E404088"/>
    <w:rsid w:val="0E4F1A2E"/>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75FD"/>
    <w:rsid w:val="111B6540"/>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70F0CFF"/>
    <w:rsid w:val="173850A7"/>
    <w:rsid w:val="174C0AC9"/>
    <w:rsid w:val="1752258F"/>
    <w:rsid w:val="177B4CDC"/>
    <w:rsid w:val="17BA7FA6"/>
    <w:rsid w:val="17BE7047"/>
    <w:rsid w:val="18C878F2"/>
    <w:rsid w:val="18FB18A3"/>
    <w:rsid w:val="19261639"/>
    <w:rsid w:val="192B2CC7"/>
    <w:rsid w:val="197D3E49"/>
    <w:rsid w:val="198B1495"/>
    <w:rsid w:val="19DE635C"/>
    <w:rsid w:val="1A0725B2"/>
    <w:rsid w:val="1A630ED2"/>
    <w:rsid w:val="1A6C248D"/>
    <w:rsid w:val="1A8A3A24"/>
    <w:rsid w:val="1AD23FC4"/>
    <w:rsid w:val="1AE747FC"/>
    <w:rsid w:val="1AF45622"/>
    <w:rsid w:val="1B5A7D5C"/>
    <w:rsid w:val="1B7B26E1"/>
    <w:rsid w:val="1B8A33D7"/>
    <w:rsid w:val="1B98664F"/>
    <w:rsid w:val="1C010930"/>
    <w:rsid w:val="1C0F0A4F"/>
    <w:rsid w:val="1C1A0C17"/>
    <w:rsid w:val="1C32741A"/>
    <w:rsid w:val="1C405AE5"/>
    <w:rsid w:val="1C577EAD"/>
    <w:rsid w:val="1CA344DF"/>
    <w:rsid w:val="1CDC7CB5"/>
    <w:rsid w:val="1D0C75F3"/>
    <w:rsid w:val="1D3441F3"/>
    <w:rsid w:val="1D5A219E"/>
    <w:rsid w:val="1D774AFE"/>
    <w:rsid w:val="1D905BC0"/>
    <w:rsid w:val="1D960483"/>
    <w:rsid w:val="1DC817B3"/>
    <w:rsid w:val="1DE5157B"/>
    <w:rsid w:val="1DF15284"/>
    <w:rsid w:val="1E071163"/>
    <w:rsid w:val="1E0A2DCB"/>
    <w:rsid w:val="1E5F77E6"/>
    <w:rsid w:val="1EA25BAA"/>
    <w:rsid w:val="1EA94EC3"/>
    <w:rsid w:val="1EB53B30"/>
    <w:rsid w:val="1F171CFB"/>
    <w:rsid w:val="1F2F4AEA"/>
    <w:rsid w:val="1F374D1F"/>
    <w:rsid w:val="1F3C13B6"/>
    <w:rsid w:val="1F4B49D6"/>
    <w:rsid w:val="1F70522D"/>
    <w:rsid w:val="1F803199"/>
    <w:rsid w:val="1FCB070D"/>
    <w:rsid w:val="1FF85069"/>
    <w:rsid w:val="207B2B57"/>
    <w:rsid w:val="20E916A5"/>
    <w:rsid w:val="20F41885"/>
    <w:rsid w:val="20FD531A"/>
    <w:rsid w:val="210E7527"/>
    <w:rsid w:val="2163607F"/>
    <w:rsid w:val="21993B18"/>
    <w:rsid w:val="21AB121A"/>
    <w:rsid w:val="21B34858"/>
    <w:rsid w:val="22464B8D"/>
    <w:rsid w:val="229A201B"/>
    <w:rsid w:val="22B67E76"/>
    <w:rsid w:val="22C75BE0"/>
    <w:rsid w:val="22D622C7"/>
    <w:rsid w:val="23131962"/>
    <w:rsid w:val="23670458"/>
    <w:rsid w:val="236B2A0F"/>
    <w:rsid w:val="23983A20"/>
    <w:rsid w:val="239974D6"/>
    <w:rsid w:val="23E266D0"/>
    <w:rsid w:val="23E4618A"/>
    <w:rsid w:val="244E3D8C"/>
    <w:rsid w:val="24724271"/>
    <w:rsid w:val="247B4ED4"/>
    <w:rsid w:val="24A715E3"/>
    <w:rsid w:val="24B335CE"/>
    <w:rsid w:val="24C820E3"/>
    <w:rsid w:val="24D91964"/>
    <w:rsid w:val="24F009A8"/>
    <w:rsid w:val="25BC3375"/>
    <w:rsid w:val="25EF0E4B"/>
    <w:rsid w:val="269C26E3"/>
    <w:rsid w:val="26E811E9"/>
    <w:rsid w:val="26F97002"/>
    <w:rsid w:val="270D6E87"/>
    <w:rsid w:val="2719762F"/>
    <w:rsid w:val="272E2D63"/>
    <w:rsid w:val="27410CB9"/>
    <w:rsid w:val="276D441A"/>
    <w:rsid w:val="2861396F"/>
    <w:rsid w:val="28AF6A0B"/>
    <w:rsid w:val="28B44010"/>
    <w:rsid w:val="28F159FD"/>
    <w:rsid w:val="29044E0B"/>
    <w:rsid w:val="29384EA8"/>
    <w:rsid w:val="295039A3"/>
    <w:rsid w:val="29986528"/>
    <w:rsid w:val="29E26463"/>
    <w:rsid w:val="2A07065D"/>
    <w:rsid w:val="2A0A08C3"/>
    <w:rsid w:val="2A534564"/>
    <w:rsid w:val="2A573A70"/>
    <w:rsid w:val="2B404B09"/>
    <w:rsid w:val="2BB60B25"/>
    <w:rsid w:val="2BB853FD"/>
    <w:rsid w:val="2BFA65A3"/>
    <w:rsid w:val="2C101F53"/>
    <w:rsid w:val="2C2053A7"/>
    <w:rsid w:val="2C472C8F"/>
    <w:rsid w:val="2C4E7F91"/>
    <w:rsid w:val="2C8F0922"/>
    <w:rsid w:val="2CBD48CE"/>
    <w:rsid w:val="2CE211B2"/>
    <w:rsid w:val="2D657944"/>
    <w:rsid w:val="2DB46201"/>
    <w:rsid w:val="2E015B36"/>
    <w:rsid w:val="2E165C6D"/>
    <w:rsid w:val="2E275F81"/>
    <w:rsid w:val="2E28730F"/>
    <w:rsid w:val="2E4E51C2"/>
    <w:rsid w:val="2E520EAC"/>
    <w:rsid w:val="2E69270B"/>
    <w:rsid w:val="2E77681E"/>
    <w:rsid w:val="2F3329BA"/>
    <w:rsid w:val="2F4B2B19"/>
    <w:rsid w:val="2F6246CC"/>
    <w:rsid w:val="2F68699C"/>
    <w:rsid w:val="2F9F2EBA"/>
    <w:rsid w:val="2F9F5447"/>
    <w:rsid w:val="2FB16D57"/>
    <w:rsid w:val="2FC53683"/>
    <w:rsid w:val="2FC811E9"/>
    <w:rsid w:val="2FE97A5F"/>
    <w:rsid w:val="2FFE4B1D"/>
    <w:rsid w:val="300B44EE"/>
    <w:rsid w:val="300C557A"/>
    <w:rsid w:val="305A47DE"/>
    <w:rsid w:val="305F4F6B"/>
    <w:rsid w:val="30626A70"/>
    <w:rsid w:val="30671D75"/>
    <w:rsid w:val="309E348C"/>
    <w:rsid w:val="30CB35CF"/>
    <w:rsid w:val="30D140CD"/>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4F62354"/>
    <w:rsid w:val="354A5F40"/>
    <w:rsid w:val="35803C3D"/>
    <w:rsid w:val="35AB75E3"/>
    <w:rsid w:val="35F42A51"/>
    <w:rsid w:val="35FFEC5E"/>
    <w:rsid w:val="36024564"/>
    <w:rsid w:val="361F260A"/>
    <w:rsid w:val="36276335"/>
    <w:rsid w:val="362F3BFA"/>
    <w:rsid w:val="366A7AFE"/>
    <w:rsid w:val="36981B5D"/>
    <w:rsid w:val="36A9634B"/>
    <w:rsid w:val="36D079C8"/>
    <w:rsid w:val="36EB7CE0"/>
    <w:rsid w:val="36FD3E6E"/>
    <w:rsid w:val="377D1279"/>
    <w:rsid w:val="377E4FAF"/>
    <w:rsid w:val="37D716E7"/>
    <w:rsid w:val="37ED2CCA"/>
    <w:rsid w:val="37F83D4F"/>
    <w:rsid w:val="38631B53"/>
    <w:rsid w:val="38633057"/>
    <w:rsid w:val="386D5472"/>
    <w:rsid w:val="38AA5930"/>
    <w:rsid w:val="390327BB"/>
    <w:rsid w:val="39074B30"/>
    <w:rsid w:val="3917530A"/>
    <w:rsid w:val="394E33E8"/>
    <w:rsid w:val="39653E33"/>
    <w:rsid w:val="396C6CF4"/>
    <w:rsid w:val="398E6F62"/>
    <w:rsid w:val="39A36C79"/>
    <w:rsid w:val="3A0948D8"/>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4A5933"/>
    <w:rsid w:val="3D743CDB"/>
    <w:rsid w:val="3D902D22"/>
    <w:rsid w:val="3DEE75C9"/>
    <w:rsid w:val="3DF4021A"/>
    <w:rsid w:val="3E047963"/>
    <w:rsid w:val="3E8E5BBA"/>
    <w:rsid w:val="3EDC10FF"/>
    <w:rsid w:val="3F0A5E23"/>
    <w:rsid w:val="3F3F2FD1"/>
    <w:rsid w:val="3F520FBF"/>
    <w:rsid w:val="3F9803DD"/>
    <w:rsid w:val="3F9B2476"/>
    <w:rsid w:val="3FE57CA4"/>
    <w:rsid w:val="402E1B38"/>
    <w:rsid w:val="405A4873"/>
    <w:rsid w:val="406022E2"/>
    <w:rsid w:val="407B3EBF"/>
    <w:rsid w:val="40DF693D"/>
    <w:rsid w:val="40F16A8E"/>
    <w:rsid w:val="40FE6986"/>
    <w:rsid w:val="411C5418"/>
    <w:rsid w:val="412545BE"/>
    <w:rsid w:val="4184340D"/>
    <w:rsid w:val="41E21275"/>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28458E"/>
    <w:rsid w:val="484F2050"/>
    <w:rsid w:val="486274F2"/>
    <w:rsid w:val="48876507"/>
    <w:rsid w:val="48A14890"/>
    <w:rsid w:val="48BD0CBA"/>
    <w:rsid w:val="4A064EEE"/>
    <w:rsid w:val="4A4C0CEF"/>
    <w:rsid w:val="4A67403B"/>
    <w:rsid w:val="4A734E79"/>
    <w:rsid w:val="4AD27698"/>
    <w:rsid w:val="4B1B114F"/>
    <w:rsid w:val="4B250368"/>
    <w:rsid w:val="4B732147"/>
    <w:rsid w:val="4B7A73E4"/>
    <w:rsid w:val="4B7F6C9B"/>
    <w:rsid w:val="4B857DCA"/>
    <w:rsid w:val="4BB01238"/>
    <w:rsid w:val="4BFC604B"/>
    <w:rsid w:val="4C2F1AF1"/>
    <w:rsid w:val="4C3F1A69"/>
    <w:rsid w:val="4C4C7D4D"/>
    <w:rsid w:val="4C692E82"/>
    <w:rsid w:val="4C9B795E"/>
    <w:rsid w:val="4CA216B0"/>
    <w:rsid w:val="4CA7336B"/>
    <w:rsid w:val="4CC2475B"/>
    <w:rsid w:val="4CDA2830"/>
    <w:rsid w:val="4CF60CEC"/>
    <w:rsid w:val="4D001539"/>
    <w:rsid w:val="4D002082"/>
    <w:rsid w:val="4D060FF1"/>
    <w:rsid w:val="4D215D38"/>
    <w:rsid w:val="4D714797"/>
    <w:rsid w:val="4D8E361A"/>
    <w:rsid w:val="4D9E7AA8"/>
    <w:rsid w:val="4D9F0EEA"/>
    <w:rsid w:val="4DA60964"/>
    <w:rsid w:val="4E035DB6"/>
    <w:rsid w:val="4E3C703C"/>
    <w:rsid w:val="4F095D32"/>
    <w:rsid w:val="4F1A4882"/>
    <w:rsid w:val="4F2C4E99"/>
    <w:rsid w:val="4F3C4DEC"/>
    <w:rsid w:val="4F7C5051"/>
    <w:rsid w:val="4FA709C3"/>
    <w:rsid w:val="4FCE6B88"/>
    <w:rsid w:val="4FDB2778"/>
    <w:rsid w:val="5028041A"/>
    <w:rsid w:val="504900D3"/>
    <w:rsid w:val="505C355C"/>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8B763C"/>
    <w:rsid w:val="55B45B96"/>
    <w:rsid w:val="55DC1770"/>
    <w:rsid w:val="55EB22AC"/>
    <w:rsid w:val="56021A16"/>
    <w:rsid w:val="561133F2"/>
    <w:rsid w:val="56401CD5"/>
    <w:rsid w:val="56571FFA"/>
    <w:rsid w:val="56A92CC7"/>
    <w:rsid w:val="56D204E6"/>
    <w:rsid w:val="5772766D"/>
    <w:rsid w:val="577D0987"/>
    <w:rsid w:val="5802511B"/>
    <w:rsid w:val="580D1F08"/>
    <w:rsid w:val="581D5AED"/>
    <w:rsid w:val="586D09FC"/>
    <w:rsid w:val="58BD10F2"/>
    <w:rsid w:val="58C148A4"/>
    <w:rsid w:val="58CD33C2"/>
    <w:rsid w:val="596469D4"/>
    <w:rsid w:val="59795EEC"/>
    <w:rsid w:val="59957B00"/>
    <w:rsid w:val="59BD375F"/>
    <w:rsid w:val="59C812C8"/>
    <w:rsid w:val="5A3572F7"/>
    <w:rsid w:val="5A3E3CD2"/>
    <w:rsid w:val="5A405C9C"/>
    <w:rsid w:val="5A435D8A"/>
    <w:rsid w:val="5BBC1D09"/>
    <w:rsid w:val="5BE865EB"/>
    <w:rsid w:val="5C34380B"/>
    <w:rsid w:val="5C441E45"/>
    <w:rsid w:val="5C837D51"/>
    <w:rsid w:val="5CBA4C19"/>
    <w:rsid w:val="5D194289"/>
    <w:rsid w:val="5D8C2B4C"/>
    <w:rsid w:val="5DC32E71"/>
    <w:rsid w:val="5DE35D38"/>
    <w:rsid w:val="5E402B64"/>
    <w:rsid w:val="5E473A9D"/>
    <w:rsid w:val="5E94654C"/>
    <w:rsid w:val="5F001951"/>
    <w:rsid w:val="5F467E66"/>
    <w:rsid w:val="5F724B4A"/>
    <w:rsid w:val="5F912AC4"/>
    <w:rsid w:val="5FA35FE5"/>
    <w:rsid w:val="5FB24F46"/>
    <w:rsid w:val="5FD14724"/>
    <w:rsid w:val="600C4824"/>
    <w:rsid w:val="60136E57"/>
    <w:rsid w:val="60153D3C"/>
    <w:rsid w:val="606D1789"/>
    <w:rsid w:val="60700F30"/>
    <w:rsid w:val="607B7DDA"/>
    <w:rsid w:val="60DB671F"/>
    <w:rsid w:val="60E87B88"/>
    <w:rsid w:val="60F36AC5"/>
    <w:rsid w:val="618B1EF3"/>
    <w:rsid w:val="61A76748"/>
    <w:rsid w:val="61D91A2E"/>
    <w:rsid w:val="622313C8"/>
    <w:rsid w:val="624D71A8"/>
    <w:rsid w:val="625F0B0F"/>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B236D"/>
    <w:rsid w:val="65B37C6A"/>
    <w:rsid w:val="65B8080F"/>
    <w:rsid w:val="66032238"/>
    <w:rsid w:val="662276B1"/>
    <w:rsid w:val="66483EC5"/>
    <w:rsid w:val="665A4EEE"/>
    <w:rsid w:val="66704DB4"/>
    <w:rsid w:val="668E6BFB"/>
    <w:rsid w:val="66A04F95"/>
    <w:rsid w:val="66B26720"/>
    <w:rsid w:val="67102453"/>
    <w:rsid w:val="6734799D"/>
    <w:rsid w:val="680622D3"/>
    <w:rsid w:val="686C2F70"/>
    <w:rsid w:val="68A67F29"/>
    <w:rsid w:val="68BB130F"/>
    <w:rsid w:val="68C15CCA"/>
    <w:rsid w:val="68D555CE"/>
    <w:rsid w:val="68F62689"/>
    <w:rsid w:val="69350DCE"/>
    <w:rsid w:val="695860FA"/>
    <w:rsid w:val="697D619C"/>
    <w:rsid w:val="697E5CFD"/>
    <w:rsid w:val="69EE3D79"/>
    <w:rsid w:val="6A0E091D"/>
    <w:rsid w:val="6A386990"/>
    <w:rsid w:val="6A927E4E"/>
    <w:rsid w:val="6ABA50AD"/>
    <w:rsid w:val="6ABC175A"/>
    <w:rsid w:val="6B006918"/>
    <w:rsid w:val="6B346916"/>
    <w:rsid w:val="6B58725B"/>
    <w:rsid w:val="6B87372B"/>
    <w:rsid w:val="6B9666DC"/>
    <w:rsid w:val="6BA02A3F"/>
    <w:rsid w:val="6BA94127"/>
    <w:rsid w:val="6BFE46EA"/>
    <w:rsid w:val="6C7F53F2"/>
    <w:rsid w:val="6C8B20CC"/>
    <w:rsid w:val="6CEE487B"/>
    <w:rsid w:val="6D616AB2"/>
    <w:rsid w:val="6DD54955"/>
    <w:rsid w:val="6E4932E5"/>
    <w:rsid w:val="6E993829"/>
    <w:rsid w:val="6EB71B5D"/>
    <w:rsid w:val="6EBE56B6"/>
    <w:rsid w:val="6F447A17"/>
    <w:rsid w:val="6F773253"/>
    <w:rsid w:val="6F7E1A3C"/>
    <w:rsid w:val="6FD11419"/>
    <w:rsid w:val="704217E5"/>
    <w:rsid w:val="7076354C"/>
    <w:rsid w:val="707E56F3"/>
    <w:rsid w:val="70F6444B"/>
    <w:rsid w:val="71152000"/>
    <w:rsid w:val="715E6CDC"/>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2D5DF4"/>
    <w:rsid w:val="7D3134F6"/>
    <w:rsid w:val="7D733ECF"/>
    <w:rsid w:val="7DAA55FB"/>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7"/>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58"/>
    <w:qFormat/>
    <w:uiPriority w:val="0"/>
    <w:pPr>
      <w:keepNext/>
      <w:outlineLvl w:val="0"/>
    </w:pPr>
    <w:rPr>
      <w:sz w:val="28"/>
      <w:szCs w:val="24"/>
    </w:rPr>
  </w:style>
  <w:style w:type="paragraph" w:styleId="6">
    <w:name w:val="heading 2"/>
    <w:basedOn w:val="1"/>
    <w:next w:val="1"/>
    <w:link w:val="114"/>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0"/>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1"/>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4"/>
    <w:qFormat/>
    <w:uiPriority w:val="0"/>
    <w:pPr>
      <w:spacing w:after="120"/>
    </w:pPr>
    <w:rPr>
      <w:szCs w:val="24"/>
    </w:rPr>
  </w:style>
  <w:style w:type="paragraph" w:styleId="4">
    <w:name w:val="toc 6"/>
    <w:basedOn w:val="1"/>
    <w:next w:val="1"/>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5"/>
    <w:qFormat/>
    <w:uiPriority w:val="0"/>
    <w:pPr>
      <w:shd w:val="clear" w:color="auto" w:fill="000080"/>
    </w:pPr>
  </w:style>
  <w:style w:type="paragraph" w:styleId="11">
    <w:name w:val="annotation text"/>
    <w:basedOn w:val="1"/>
    <w:link w:val="79"/>
    <w:semiHidden/>
    <w:qFormat/>
    <w:uiPriority w:val="99"/>
    <w:pPr>
      <w:jc w:val="left"/>
    </w:pPr>
  </w:style>
  <w:style w:type="paragraph" w:styleId="12">
    <w:name w:val="Body Text 3"/>
    <w:basedOn w:val="1"/>
    <w:link w:val="99"/>
    <w:unhideWhenUsed/>
    <w:qFormat/>
    <w:uiPriority w:val="99"/>
    <w:pPr>
      <w:spacing w:after="120"/>
    </w:pPr>
    <w:rPr>
      <w:rFonts w:ascii="Calibri" w:hAnsi="Calibri"/>
      <w:sz w:val="16"/>
      <w:szCs w:val="16"/>
      <w:lang w:val="zh-CN"/>
    </w:rPr>
  </w:style>
  <w:style w:type="paragraph" w:styleId="13">
    <w:name w:val="Body Text Indent"/>
    <w:basedOn w:val="1"/>
    <w:next w:val="14"/>
    <w:link w:val="63"/>
    <w:qFormat/>
    <w:uiPriority w:val="0"/>
    <w:pPr>
      <w:ind w:firstLine="540"/>
    </w:pPr>
    <w:rPr>
      <w:rFonts w:eastAsia="仿宋_GB2312"/>
      <w:sz w:val="28"/>
    </w:rPr>
  </w:style>
  <w:style w:type="paragraph" w:styleId="14">
    <w:name w:val="envelope return"/>
    <w:basedOn w:val="1"/>
    <w:unhideWhenUsed/>
    <w:qFormat/>
    <w:uiPriority w:val="99"/>
    <w:pPr>
      <w:snapToGrid w:val="0"/>
      <w:spacing w:line="360" w:lineRule="auto"/>
    </w:pPr>
    <w:rPr>
      <w:rFonts w:ascii="Arial" w:hAnsi="Arial" w:cs="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2"/>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2"/>
    <w:qFormat/>
    <w:uiPriority w:val="0"/>
    <w:rPr>
      <w:rFonts w:ascii="Arial" w:hAnsi="Arial" w:eastAsia="楷体_GB2312"/>
      <w:sz w:val="28"/>
    </w:rPr>
  </w:style>
  <w:style w:type="paragraph" w:styleId="20">
    <w:name w:val="Body Text Indent 2"/>
    <w:basedOn w:val="1"/>
    <w:link w:val="65"/>
    <w:qFormat/>
    <w:uiPriority w:val="0"/>
    <w:pPr>
      <w:tabs>
        <w:tab w:val="left" w:pos="720"/>
      </w:tabs>
      <w:ind w:right="-506" w:rightChars="-241" w:firstLine="538" w:firstLineChars="192"/>
    </w:pPr>
    <w:rPr>
      <w:rFonts w:eastAsia="仿宋_GB2312"/>
      <w:sz w:val="28"/>
    </w:rPr>
  </w:style>
  <w:style w:type="paragraph" w:styleId="21">
    <w:name w:val="Balloon Text"/>
    <w:basedOn w:val="1"/>
    <w:link w:val="76"/>
    <w:qFormat/>
    <w:uiPriority w:val="0"/>
    <w:rPr>
      <w:sz w:val="18"/>
      <w:szCs w:val="18"/>
    </w:rPr>
  </w:style>
  <w:style w:type="paragraph" w:styleId="22">
    <w:name w:val="footer"/>
    <w:basedOn w:val="1"/>
    <w:link w:val="57"/>
    <w:unhideWhenUsed/>
    <w:qFormat/>
    <w:uiPriority w:val="99"/>
    <w:pPr>
      <w:tabs>
        <w:tab w:val="center" w:pos="4153"/>
        <w:tab w:val="right" w:pos="8306"/>
      </w:tabs>
      <w:snapToGrid w:val="0"/>
      <w:jc w:val="left"/>
    </w:pPr>
    <w:rPr>
      <w:sz w:val="18"/>
      <w:szCs w:val="18"/>
    </w:rPr>
  </w:style>
  <w:style w:type="paragraph" w:styleId="23">
    <w:name w:val="header"/>
    <w:basedOn w:val="1"/>
    <w:link w:val="56"/>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Body Text Indent 3"/>
    <w:basedOn w:val="1"/>
    <w:link w:val="71"/>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11"/>
    <w:next w:val="11"/>
    <w:link w:val="80"/>
    <w:semiHidden/>
    <w:qFormat/>
    <w:uiPriority w:val="99"/>
    <w:rPr>
      <w:b/>
      <w:bCs/>
    </w:rPr>
  </w:style>
  <w:style w:type="paragraph" w:styleId="34">
    <w:name w:val="Body Text First Indent 2"/>
    <w:basedOn w:val="13"/>
    <w:next w:val="1"/>
    <w:qFormat/>
    <w:uiPriority w:val="0"/>
    <w:pPr>
      <w:spacing w:line="360" w:lineRule="auto"/>
      <w:jc w:val="left"/>
    </w:pPr>
    <w:rPr>
      <w:rFonts w:cs="宋体"/>
      <w:sz w:val="28"/>
      <w:szCs w:val="28"/>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bCs/>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b/>
      <w:bCs/>
    </w:rPr>
  </w:style>
  <w:style w:type="character" w:styleId="42">
    <w:name w:val="HTML Definition"/>
    <w:basedOn w:val="37"/>
    <w:semiHidden/>
    <w:unhideWhenUsed/>
    <w:qFormat/>
    <w:uiPriority w:val="99"/>
  </w:style>
  <w:style w:type="character" w:styleId="43">
    <w:name w:val="HTML Typewriter"/>
    <w:basedOn w:val="37"/>
    <w:semiHidden/>
    <w:unhideWhenUsed/>
    <w:qFormat/>
    <w:uiPriority w:val="99"/>
    <w:rPr>
      <w:rFonts w:hint="default" w:ascii="monospace" w:hAnsi="monospace" w:eastAsia="monospace" w:cs="monospace"/>
      <w:sz w:val="20"/>
    </w:rPr>
  </w:style>
  <w:style w:type="character" w:styleId="44">
    <w:name w:val="HTML Acronym"/>
    <w:basedOn w:val="37"/>
    <w:semiHidden/>
    <w:unhideWhenUsed/>
    <w:qFormat/>
    <w:uiPriority w:val="99"/>
  </w:style>
  <w:style w:type="character" w:styleId="45">
    <w:name w:val="HTML Variable"/>
    <w:basedOn w:val="37"/>
    <w:semiHidden/>
    <w:unhideWhenUsed/>
    <w:qFormat/>
    <w:uiPriority w:val="99"/>
  </w:style>
  <w:style w:type="character" w:styleId="46">
    <w:name w:val="Hyperlink"/>
    <w:basedOn w:val="37"/>
    <w:qFormat/>
    <w:uiPriority w:val="99"/>
    <w:rPr>
      <w:color w:val="333333"/>
      <w:u w:val="none"/>
    </w:rPr>
  </w:style>
  <w:style w:type="character" w:styleId="47">
    <w:name w:val="HTML Code"/>
    <w:basedOn w:val="37"/>
    <w:semiHidden/>
    <w:unhideWhenUsed/>
    <w:qFormat/>
    <w:uiPriority w:val="99"/>
    <w:rPr>
      <w:rFonts w:hint="default" w:ascii="monospace" w:hAnsi="monospace" w:eastAsia="monospace" w:cs="monospace"/>
      <w:sz w:val="20"/>
    </w:rPr>
  </w:style>
  <w:style w:type="character" w:styleId="48">
    <w:name w:val="annotation reference"/>
    <w:semiHidden/>
    <w:qFormat/>
    <w:uiPriority w:val="99"/>
    <w:rPr>
      <w:sz w:val="21"/>
      <w:szCs w:val="21"/>
    </w:rPr>
  </w:style>
  <w:style w:type="character" w:styleId="49">
    <w:name w:val="HTML Cite"/>
    <w:basedOn w:val="37"/>
    <w:semiHidden/>
    <w:unhideWhenUsed/>
    <w:qFormat/>
    <w:uiPriority w:val="99"/>
  </w:style>
  <w:style w:type="character" w:styleId="50">
    <w:name w:val="HTML Keyboard"/>
    <w:basedOn w:val="37"/>
    <w:semiHidden/>
    <w:unhideWhenUsed/>
    <w:qFormat/>
    <w:uiPriority w:val="99"/>
    <w:rPr>
      <w:rFonts w:ascii="monospace" w:hAnsi="monospace" w:eastAsia="monospace" w:cs="monospace"/>
      <w:sz w:val="20"/>
    </w:rPr>
  </w:style>
  <w:style w:type="character" w:styleId="51">
    <w:name w:val="HTML Sample"/>
    <w:basedOn w:val="37"/>
    <w:semiHidden/>
    <w:unhideWhenUsed/>
    <w:qFormat/>
    <w:uiPriority w:val="99"/>
    <w:rPr>
      <w:rFonts w:hint="default" w:ascii="monospace" w:hAnsi="monospace" w:eastAsia="monospace" w:cs="monospace"/>
    </w:rPr>
  </w:style>
  <w:style w:type="paragraph" w:customStyle="1" w:styleId="52">
    <w:name w:val="style4"/>
    <w:basedOn w:val="1"/>
    <w:next w:val="53"/>
    <w:qFormat/>
    <w:uiPriority w:val="0"/>
    <w:pPr>
      <w:widowControl/>
      <w:spacing w:before="280" w:after="280"/>
    </w:pPr>
    <w:rPr>
      <w:rFonts w:ascii="宋体"/>
      <w:sz w:val="18"/>
    </w:rPr>
  </w:style>
  <w:style w:type="paragraph" w:customStyle="1" w:styleId="5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qFormat/>
    <w:uiPriority w:val="0"/>
    <w:pPr>
      <w:ind w:firstLine="420" w:firstLineChars="200"/>
    </w:pPr>
    <w:rPr>
      <w:rFonts w:ascii="Calibri" w:hAnsi="Calibri"/>
      <w:szCs w:val="22"/>
    </w:rPr>
  </w:style>
  <w:style w:type="paragraph" w:customStyle="1" w:styleId="55">
    <w:name w:val="目录 71"/>
    <w:basedOn w:val="1"/>
    <w:next w:val="1"/>
    <w:qFormat/>
    <w:uiPriority w:val="0"/>
    <w:pPr>
      <w:ind w:left="2520"/>
    </w:pPr>
    <w:rPr>
      <w:rFonts w:ascii="Calibri"/>
    </w:rPr>
  </w:style>
  <w:style w:type="character" w:customStyle="1" w:styleId="56">
    <w:name w:val="页眉 字符"/>
    <w:basedOn w:val="37"/>
    <w:link w:val="23"/>
    <w:qFormat/>
    <w:uiPriority w:val="0"/>
    <w:rPr>
      <w:sz w:val="18"/>
      <w:szCs w:val="18"/>
    </w:rPr>
  </w:style>
  <w:style w:type="character" w:customStyle="1" w:styleId="57">
    <w:name w:val="页脚 字符"/>
    <w:basedOn w:val="37"/>
    <w:link w:val="22"/>
    <w:qFormat/>
    <w:uiPriority w:val="0"/>
    <w:rPr>
      <w:sz w:val="18"/>
      <w:szCs w:val="18"/>
    </w:rPr>
  </w:style>
  <w:style w:type="character" w:customStyle="1" w:styleId="58">
    <w:name w:val="标题 1 字符"/>
    <w:basedOn w:val="37"/>
    <w:link w:val="5"/>
    <w:qFormat/>
    <w:uiPriority w:val="0"/>
    <w:rPr>
      <w:rFonts w:ascii="Times New Roman" w:hAnsi="Times New Roman" w:eastAsia="宋体" w:cs="Times New Roman"/>
      <w:sz w:val="28"/>
      <w:szCs w:val="24"/>
    </w:rPr>
  </w:style>
  <w:style w:type="character" w:customStyle="1" w:styleId="59">
    <w:name w:val="标题 2 Char"/>
    <w:basedOn w:val="37"/>
    <w:qFormat/>
    <w:uiPriority w:val="0"/>
    <w:rPr>
      <w:rFonts w:ascii="Arial" w:hAnsi="Arial" w:eastAsia="黑体" w:cs="Times New Roman"/>
      <w:b/>
      <w:kern w:val="0"/>
      <w:sz w:val="32"/>
      <w:szCs w:val="20"/>
    </w:rPr>
  </w:style>
  <w:style w:type="character" w:customStyle="1" w:styleId="60">
    <w:name w:val="标题 3 字符"/>
    <w:basedOn w:val="37"/>
    <w:link w:val="7"/>
    <w:qFormat/>
    <w:uiPriority w:val="0"/>
    <w:rPr>
      <w:rFonts w:ascii="Times New Roman" w:hAnsi="Times New Roman" w:eastAsia="宋体" w:cs="Times New Roman"/>
      <w:b/>
      <w:bCs/>
      <w:sz w:val="32"/>
      <w:szCs w:val="32"/>
      <w:lang w:val="zh-CN" w:eastAsia="zh-CN"/>
    </w:rPr>
  </w:style>
  <w:style w:type="character" w:customStyle="1" w:styleId="61">
    <w:name w:val="标题 4 字符"/>
    <w:basedOn w:val="37"/>
    <w:link w:val="8"/>
    <w:qFormat/>
    <w:uiPriority w:val="0"/>
    <w:rPr>
      <w:rFonts w:ascii="Arial" w:hAnsi="Arial" w:eastAsia="黑体" w:cs="Times New Roman"/>
      <w:b/>
      <w:kern w:val="0"/>
      <w:sz w:val="28"/>
      <w:szCs w:val="20"/>
    </w:rPr>
  </w:style>
  <w:style w:type="character" w:customStyle="1" w:styleId="62">
    <w:name w:val="日期 字符"/>
    <w:basedOn w:val="37"/>
    <w:link w:val="19"/>
    <w:qFormat/>
    <w:uiPriority w:val="0"/>
    <w:rPr>
      <w:rFonts w:ascii="Arial" w:hAnsi="Arial" w:eastAsia="楷体_GB2312" w:cs="Times New Roman"/>
      <w:sz w:val="28"/>
      <w:szCs w:val="20"/>
    </w:rPr>
  </w:style>
  <w:style w:type="character" w:customStyle="1" w:styleId="63">
    <w:name w:val="正文文本缩进 字符"/>
    <w:basedOn w:val="37"/>
    <w:link w:val="13"/>
    <w:qFormat/>
    <w:uiPriority w:val="0"/>
    <w:rPr>
      <w:rFonts w:ascii="Times New Roman" w:hAnsi="Times New Roman" w:eastAsia="仿宋_GB2312" w:cs="Times New Roman"/>
      <w:sz w:val="28"/>
      <w:szCs w:val="20"/>
    </w:rPr>
  </w:style>
  <w:style w:type="paragraph" w:customStyle="1" w:styleId="64">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正文文本缩进 2 字符"/>
    <w:basedOn w:val="37"/>
    <w:link w:val="20"/>
    <w:qFormat/>
    <w:uiPriority w:val="0"/>
    <w:rPr>
      <w:rFonts w:ascii="Times New Roman" w:hAnsi="Times New Roman" w:eastAsia="仿宋_GB2312" w:cs="Times New Roman"/>
      <w:sz w:val="28"/>
      <w:szCs w:val="20"/>
    </w:rPr>
  </w:style>
  <w:style w:type="paragraph" w:customStyle="1" w:styleId="66">
    <w:name w:val="样式1"/>
    <w:basedOn w:val="1"/>
    <w:qFormat/>
    <w:uiPriority w:val="0"/>
    <w:pPr>
      <w:numPr>
        <w:ilvl w:val="0"/>
        <w:numId w:val="1"/>
      </w:numPr>
      <w:adjustRightInd w:val="0"/>
      <w:textAlignment w:val="baseline"/>
    </w:pPr>
    <w:rPr>
      <w:rFonts w:ascii="宋体" w:hAnsi="宋体"/>
      <w:kern w:val="0"/>
    </w:rPr>
  </w:style>
  <w:style w:type="paragraph" w:customStyle="1" w:styleId="67">
    <w:name w:val="样式 宋体 五号 行距: 单倍行距"/>
    <w:basedOn w:val="1"/>
    <w:qFormat/>
    <w:uiPriority w:val="0"/>
    <w:pPr>
      <w:adjustRightInd w:val="0"/>
      <w:jc w:val="left"/>
      <w:textAlignment w:val="baseline"/>
    </w:pPr>
    <w:rPr>
      <w:rFonts w:ascii="宋体" w:hAnsi="宋体"/>
      <w:kern w:val="0"/>
    </w:rPr>
  </w:style>
  <w:style w:type="paragraph" w:customStyle="1" w:styleId="68">
    <w:name w:val="样式 标题 2 + 宋体 五号 行距: 单倍行距"/>
    <w:basedOn w:val="6"/>
    <w:qFormat/>
    <w:uiPriority w:val="0"/>
    <w:pPr>
      <w:spacing w:line="240" w:lineRule="auto"/>
    </w:pPr>
    <w:rPr>
      <w:rFonts w:ascii="宋体" w:hAnsi="宋体" w:eastAsia="宋体"/>
      <w:sz w:val="21"/>
    </w:rPr>
  </w:style>
  <w:style w:type="paragraph" w:customStyle="1" w:styleId="69">
    <w:name w:val="Char Char Char Char Char"/>
    <w:basedOn w:val="1"/>
    <w:qFormat/>
    <w:uiPriority w:val="0"/>
    <w:rPr>
      <w:rFonts w:ascii="Tahoma" w:hAnsi="Tahoma"/>
      <w:sz w:val="24"/>
    </w:rPr>
  </w:style>
  <w:style w:type="paragraph" w:customStyle="1" w:styleId="70">
    <w:name w:val="Char"/>
    <w:basedOn w:val="1"/>
    <w:qFormat/>
    <w:uiPriority w:val="0"/>
    <w:rPr>
      <w:rFonts w:ascii="Tahoma" w:hAnsi="Tahoma"/>
      <w:sz w:val="24"/>
    </w:rPr>
  </w:style>
  <w:style w:type="character" w:customStyle="1" w:styleId="71">
    <w:name w:val="正文文本缩进 3 字符"/>
    <w:basedOn w:val="37"/>
    <w:link w:val="26"/>
    <w:qFormat/>
    <w:uiPriority w:val="0"/>
    <w:rPr>
      <w:rFonts w:ascii="仿宋_GB2312" w:hAnsi="Arial" w:eastAsia="仿宋_GB2312" w:cs="Times New Roman"/>
      <w:sz w:val="28"/>
      <w:szCs w:val="24"/>
    </w:rPr>
  </w:style>
  <w:style w:type="paragraph" w:customStyle="1" w:styleId="72">
    <w:name w:val="Char1"/>
    <w:basedOn w:val="1"/>
    <w:qFormat/>
    <w:uiPriority w:val="0"/>
    <w:rPr>
      <w:rFonts w:ascii="Tahoma" w:hAnsi="Tahoma" w:eastAsia="仿宋_GB2312"/>
      <w:sz w:val="24"/>
    </w:rPr>
  </w:style>
  <w:style w:type="paragraph" w:customStyle="1" w:styleId="73">
    <w:name w:val="Char Char Char Char Char Char Char1 Char"/>
    <w:basedOn w:val="1"/>
    <w:qFormat/>
    <w:uiPriority w:val="0"/>
    <w:rPr>
      <w:rFonts w:ascii="Tahoma" w:hAnsi="Tahoma"/>
      <w:sz w:val="24"/>
    </w:rPr>
  </w:style>
  <w:style w:type="character" w:customStyle="1" w:styleId="74">
    <w:name w:val="正文文本 字符"/>
    <w:basedOn w:val="37"/>
    <w:link w:val="3"/>
    <w:qFormat/>
    <w:uiPriority w:val="0"/>
    <w:rPr>
      <w:rFonts w:ascii="Times New Roman" w:hAnsi="Times New Roman" w:eastAsia="宋体" w:cs="Times New Roman"/>
      <w:szCs w:val="24"/>
    </w:rPr>
  </w:style>
  <w:style w:type="paragraph" w:customStyle="1" w:styleId="75">
    <w:name w:val="Char Char Char Char"/>
    <w:basedOn w:val="1"/>
    <w:next w:val="1"/>
    <w:qFormat/>
    <w:uiPriority w:val="0"/>
    <w:pPr>
      <w:widowControl/>
      <w:spacing w:line="360" w:lineRule="auto"/>
      <w:jc w:val="left"/>
    </w:pPr>
  </w:style>
  <w:style w:type="character" w:customStyle="1" w:styleId="76">
    <w:name w:val="批注框文本 字符"/>
    <w:basedOn w:val="37"/>
    <w:link w:val="21"/>
    <w:qFormat/>
    <w:uiPriority w:val="0"/>
    <w:rPr>
      <w:rFonts w:ascii="Times New Roman" w:hAnsi="Times New Roman" w:eastAsia="宋体" w:cs="Times New Roman"/>
      <w:sz w:val="18"/>
      <w:szCs w:val="18"/>
    </w:rPr>
  </w:style>
  <w:style w:type="paragraph" w:customStyle="1" w:styleId="77">
    <w:name w:val="Char Char Char"/>
    <w:basedOn w:val="1"/>
    <w:qFormat/>
    <w:uiPriority w:val="0"/>
    <w:rPr>
      <w:rFonts w:ascii="Tahoma" w:hAnsi="Tahoma"/>
      <w:sz w:val="24"/>
    </w:rPr>
  </w:style>
  <w:style w:type="paragraph" w:customStyle="1" w:styleId="78">
    <w:name w:val="Char Char Char Char Char Char Char Char Char Char"/>
    <w:basedOn w:val="1"/>
    <w:qFormat/>
    <w:uiPriority w:val="0"/>
    <w:rPr>
      <w:rFonts w:ascii="Tahoma" w:hAnsi="Tahoma" w:cs="仿宋_GB2312"/>
      <w:sz w:val="24"/>
    </w:rPr>
  </w:style>
  <w:style w:type="character" w:customStyle="1" w:styleId="79">
    <w:name w:val="批注文字 字符"/>
    <w:basedOn w:val="37"/>
    <w:link w:val="11"/>
    <w:semiHidden/>
    <w:qFormat/>
    <w:uiPriority w:val="99"/>
    <w:rPr>
      <w:rFonts w:ascii="Times New Roman" w:hAnsi="Times New Roman" w:eastAsia="宋体" w:cs="Times New Roman"/>
      <w:szCs w:val="20"/>
    </w:rPr>
  </w:style>
  <w:style w:type="character" w:customStyle="1" w:styleId="80">
    <w:name w:val="批注主题 字符"/>
    <w:basedOn w:val="79"/>
    <w:link w:val="33"/>
    <w:semiHidden/>
    <w:qFormat/>
    <w:uiPriority w:val="99"/>
    <w:rPr>
      <w:rFonts w:ascii="Times New Roman" w:hAnsi="Times New Roman" w:eastAsia="宋体" w:cs="Times New Roman"/>
      <w:b/>
      <w:bCs/>
      <w:szCs w:val="20"/>
    </w:rPr>
  </w:style>
  <w:style w:type="paragraph" w:customStyle="1" w:styleId="81">
    <w:name w:val="Char Char Char Char Char Char"/>
    <w:basedOn w:val="1"/>
    <w:qFormat/>
    <w:uiPriority w:val="0"/>
  </w:style>
  <w:style w:type="character" w:customStyle="1" w:styleId="82">
    <w:name w:val="纯文本 字符"/>
    <w:link w:val="17"/>
    <w:qFormat/>
    <w:uiPriority w:val="0"/>
    <w:rPr>
      <w:rFonts w:ascii="宋体" w:hAnsi="Courier New" w:eastAsia="宋体"/>
    </w:rPr>
  </w:style>
  <w:style w:type="character" w:customStyle="1" w:styleId="83">
    <w:name w:val="纯文本 Char1"/>
    <w:basedOn w:val="37"/>
    <w:semiHidden/>
    <w:qFormat/>
    <w:uiPriority w:val="99"/>
    <w:rPr>
      <w:rFonts w:ascii="宋体" w:hAnsi="Courier New" w:eastAsia="宋体" w:cs="Courier New"/>
      <w:szCs w:val="21"/>
    </w:rPr>
  </w:style>
  <w:style w:type="paragraph" w:customStyle="1" w:styleId="84">
    <w:name w:val="Char12 Char Char Char"/>
    <w:basedOn w:val="1"/>
    <w:qFormat/>
    <w:uiPriority w:val="0"/>
  </w:style>
  <w:style w:type="character" w:customStyle="1" w:styleId="85">
    <w:name w:val="文档结构图 字符"/>
    <w:basedOn w:val="37"/>
    <w:link w:val="10"/>
    <w:qFormat/>
    <w:uiPriority w:val="0"/>
    <w:rPr>
      <w:rFonts w:ascii="Times New Roman" w:hAnsi="Times New Roman" w:eastAsia="宋体" w:cs="Times New Roman"/>
      <w:szCs w:val="20"/>
      <w:shd w:val="clear" w:color="auto" w:fill="000080"/>
    </w:rPr>
  </w:style>
  <w:style w:type="character" w:customStyle="1" w:styleId="86">
    <w:name w:val="style29"/>
    <w:qFormat/>
    <w:uiPriority w:val="0"/>
  </w:style>
  <w:style w:type="character" w:customStyle="1" w:styleId="87">
    <w:name w:val="正文1"/>
    <w:qFormat/>
    <w:uiPriority w:val="0"/>
  </w:style>
  <w:style w:type="character" w:customStyle="1" w:styleId="88">
    <w:name w:val="font11"/>
    <w:qFormat/>
    <w:uiPriority w:val="0"/>
    <w:rPr>
      <w:rFonts w:hint="default" w:ascii="Times New Roman" w:hAnsi="Times New Roman" w:cs="Times New Roman"/>
      <w:color w:val="3366FF"/>
      <w:sz w:val="24"/>
      <w:szCs w:val="24"/>
      <w:u w:val="none"/>
    </w:rPr>
  </w:style>
  <w:style w:type="character" w:customStyle="1" w:styleId="89">
    <w:name w:val="font21"/>
    <w:qFormat/>
    <w:uiPriority w:val="0"/>
    <w:rPr>
      <w:rFonts w:hint="eastAsia" w:ascii="宋体" w:hAnsi="宋体" w:eastAsia="宋体"/>
      <w:color w:val="3366FF"/>
      <w:sz w:val="24"/>
      <w:szCs w:val="24"/>
      <w:u w:val="none"/>
    </w:rPr>
  </w:style>
  <w:style w:type="paragraph" w:customStyle="1" w:styleId="90">
    <w:name w:val="Char Char15"/>
    <w:basedOn w:val="1"/>
    <w:qFormat/>
    <w:uiPriority w:val="0"/>
    <w:rPr>
      <w:rFonts w:ascii="Tahoma" w:hAnsi="Tahoma" w:eastAsia="仿宋_GB2312"/>
      <w:sz w:val="24"/>
    </w:rPr>
  </w:style>
  <w:style w:type="paragraph" w:customStyle="1" w:styleId="91">
    <w:name w:val="Char2"/>
    <w:basedOn w:val="1"/>
    <w:qFormat/>
    <w:uiPriority w:val="0"/>
    <w:pPr>
      <w:tabs>
        <w:tab w:val="left" w:pos="360"/>
      </w:tabs>
    </w:pPr>
    <w:rPr>
      <w:sz w:val="24"/>
      <w:szCs w:val="24"/>
    </w:rPr>
  </w:style>
  <w:style w:type="paragraph" w:customStyle="1" w:styleId="92">
    <w:name w:val="Char16"/>
    <w:basedOn w:val="1"/>
    <w:qFormat/>
    <w:uiPriority w:val="0"/>
    <w:rPr>
      <w:rFonts w:ascii="Tahoma" w:hAnsi="Tahoma" w:eastAsia="仿宋_GB2312"/>
      <w:sz w:val="24"/>
    </w:rPr>
  </w:style>
  <w:style w:type="paragraph" w:customStyle="1" w:styleId="93">
    <w:name w:val="Char Char1"/>
    <w:basedOn w:val="1"/>
    <w:qFormat/>
    <w:uiPriority w:val="0"/>
    <w:rPr>
      <w:rFonts w:ascii="Tahoma" w:hAnsi="Tahoma"/>
      <w:sz w:val="24"/>
    </w:rPr>
  </w:style>
  <w:style w:type="paragraph" w:customStyle="1" w:styleId="94">
    <w:name w:val="Char Char Char Char Char Char Char"/>
    <w:basedOn w:val="1"/>
    <w:qFormat/>
    <w:uiPriority w:val="0"/>
    <w:rPr>
      <w:szCs w:val="24"/>
    </w:rPr>
  </w:style>
  <w:style w:type="paragraph" w:customStyle="1" w:styleId="95">
    <w:name w:val="Char Char"/>
    <w:basedOn w:val="1"/>
    <w:qFormat/>
    <w:uiPriority w:val="0"/>
    <w:rPr>
      <w:rFonts w:ascii="Tahoma" w:hAnsi="Tahoma" w:cs="仿宋_GB2312"/>
      <w:sz w:val="24"/>
    </w:rPr>
  </w:style>
  <w:style w:type="paragraph" w:customStyle="1" w:styleId="96">
    <w:name w:val="Char Char2"/>
    <w:basedOn w:val="1"/>
    <w:qFormat/>
    <w:uiPriority w:val="0"/>
    <w:rPr>
      <w:rFonts w:ascii="Tahoma" w:hAnsi="Tahoma" w:cs="仿宋_GB2312"/>
      <w:sz w:val="24"/>
    </w:rPr>
  </w:style>
  <w:style w:type="paragraph" w:customStyle="1" w:styleId="97">
    <w:name w:val="Char Char Char1"/>
    <w:basedOn w:val="1"/>
    <w:qFormat/>
    <w:uiPriority w:val="0"/>
    <w:rPr>
      <w:rFonts w:ascii="Tahoma" w:hAnsi="Tahoma"/>
      <w:sz w:val="24"/>
    </w:rPr>
  </w:style>
  <w:style w:type="paragraph" w:customStyle="1" w:styleId="98">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9">
    <w:name w:val="正文文本 3 字符"/>
    <w:basedOn w:val="37"/>
    <w:link w:val="12"/>
    <w:qFormat/>
    <w:uiPriority w:val="99"/>
    <w:rPr>
      <w:rFonts w:ascii="Calibri" w:hAnsi="Calibri" w:eastAsia="宋体" w:cs="Times New Roman"/>
      <w:sz w:val="16"/>
      <w:szCs w:val="16"/>
      <w:lang w:val="zh-CN" w:eastAsia="zh-CN"/>
    </w:rPr>
  </w:style>
  <w:style w:type="paragraph" w:customStyle="1" w:styleId="10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1">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
    <w:name w:val="style23"/>
    <w:qFormat/>
    <w:uiPriority w:val="0"/>
    <w:rPr>
      <w:rFonts w:ascii="Times New Roman" w:hAnsi="Times New Roman" w:eastAsia="宋体"/>
    </w:rPr>
  </w:style>
  <w:style w:type="paragraph" w:customStyle="1" w:styleId="103">
    <w:name w:val="p0"/>
    <w:basedOn w:val="1"/>
    <w:qFormat/>
    <w:uiPriority w:val="0"/>
    <w:pPr>
      <w:widowControl/>
      <w:jc w:val="left"/>
    </w:pPr>
    <w:rPr>
      <w:rFonts w:ascii="等线" w:hAnsi="等线" w:eastAsia="等线" w:cs="等线"/>
      <w:kern w:val="0"/>
      <w:sz w:val="20"/>
      <w:szCs w:val="22"/>
    </w:rPr>
  </w:style>
  <w:style w:type="paragraph" w:customStyle="1" w:styleId="104">
    <w:name w:val="列表段落1"/>
    <w:basedOn w:val="1"/>
    <w:qFormat/>
    <w:uiPriority w:val="34"/>
    <w:pPr>
      <w:ind w:firstLine="420" w:firstLineChars="200"/>
    </w:pPr>
    <w:rPr>
      <w:szCs w:val="24"/>
    </w:rPr>
  </w:style>
  <w:style w:type="paragraph" w:customStyle="1" w:styleId="105">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6">
    <w:name w:val="List Paragraph"/>
    <w:basedOn w:val="1"/>
    <w:qFormat/>
    <w:uiPriority w:val="99"/>
    <w:pPr>
      <w:ind w:firstLine="420" w:firstLineChars="200"/>
    </w:pPr>
  </w:style>
  <w:style w:type="table" w:customStyle="1" w:styleId="107">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8">
    <w:name w:val="first-child3"/>
    <w:basedOn w:val="37"/>
    <w:qFormat/>
    <w:uiPriority w:val="0"/>
  </w:style>
  <w:style w:type="character" w:customStyle="1" w:styleId="109">
    <w:name w:val="layui-this"/>
    <w:basedOn w:val="37"/>
    <w:qFormat/>
    <w:uiPriority w:val="0"/>
    <w:rPr>
      <w:bdr w:val="single" w:color="EEEEEE" w:sz="4" w:space="0"/>
      <w:shd w:val="clear" w:color="auto" w:fill="FFFFFF"/>
    </w:rPr>
  </w:style>
  <w:style w:type="character" w:customStyle="1" w:styleId="110">
    <w:name w:val="first-child2"/>
    <w:basedOn w:val="37"/>
    <w:qFormat/>
    <w:uiPriority w:val="0"/>
  </w:style>
  <w:style w:type="character" w:customStyle="1" w:styleId="111">
    <w:name w:val="first-child"/>
    <w:basedOn w:val="37"/>
    <w:qFormat/>
    <w:uiPriority w:val="0"/>
  </w:style>
  <w:style w:type="character" w:customStyle="1" w:styleId="112">
    <w:name w:val="first-child1"/>
    <w:basedOn w:val="37"/>
    <w:qFormat/>
    <w:uiPriority w:val="0"/>
  </w:style>
  <w:style w:type="paragraph" w:customStyle="1" w:styleId="113">
    <w:name w:val="Table Paragraph"/>
    <w:basedOn w:val="1"/>
    <w:qFormat/>
    <w:uiPriority w:val="99"/>
    <w:pPr>
      <w:jc w:val="left"/>
    </w:pPr>
    <w:rPr>
      <w:rFonts w:ascii="宋体" w:hAnsi="宋体" w:cs="宋体"/>
      <w:kern w:val="0"/>
      <w:sz w:val="22"/>
      <w:szCs w:val="22"/>
      <w:lang w:eastAsia="en-US"/>
    </w:rPr>
  </w:style>
  <w:style w:type="character" w:customStyle="1" w:styleId="114">
    <w:name w:val="标题 2 字符"/>
    <w:link w:val="6"/>
    <w:qFormat/>
    <w:uiPriority w:val="0"/>
    <w:rPr>
      <w:rFonts w:ascii="Arial" w:hAnsi="Arial" w:eastAsia="黑体"/>
      <w:b/>
      <w:bCs/>
      <w:sz w:val="32"/>
      <w:szCs w:val="32"/>
    </w:rPr>
  </w:style>
  <w:style w:type="character" w:customStyle="1" w:styleId="115">
    <w:name w:val="place"/>
    <w:basedOn w:val="37"/>
    <w:qFormat/>
    <w:uiPriority w:val="0"/>
  </w:style>
  <w:style w:type="character" w:customStyle="1" w:styleId="116">
    <w:name w:val="place1"/>
    <w:basedOn w:val="37"/>
    <w:qFormat/>
    <w:uiPriority w:val="0"/>
  </w:style>
  <w:style w:type="character" w:customStyle="1" w:styleId="117">
    <w:name w:val="place2"/>
    <w:basedOn w:val="37"/>
    <w:qFormat/>
    <w:uiPriority w:val="0"/>
    <w:rPr>
      <w:rFonts w:ascii="微软雅黑" w:hAnsi="微软雅黑" w:eastAsia="微软雅黑" w:cs="微软雅黑"/>
      <w:color w:val="888888"/>
      <w:sz w:val="20"/>
      <w:szCs w:val="20"/>
    </w:rPr>
  </w:style>
  <w:style w:type="character" w:customStyle="1" w:styleId="118">
    <w:name w:val="place3"/>
    <w:basedOn w:val="37"/>
    <w:qFormat/>
    <w:uiPriority w:val="0"/>
  </w:style>
  <w:style w:type="character" w:customStyle="1" w:styleId="119">
    <w:name w:val="font"/>
    <w:basedOn w:val="37"/>
    <w:qFormat/>
    <w:uiPriority w:val="0"/>
  </w:style>
  <w:style w:type="character" w:customStyle="1" w:styleId="120">
    <w:name w:val="font1"/>
    <w:basedOn w:val="37"/>
    <w:qFormat/>
    <w:uiPriority w:val="0"/>
  </w:style>
  <w:style w:type="character" w:customStyle="1" w:styleId="121">
    <w:name w:val="gwds_nopic"/>
    <w:basedOn w:val="37"/>
    <w:qFormat/>
    <w:uiPriority w:val="0"/>
  </w:style>
  <w:style w:type="character" w:customStyle="1" w:styleId="122">
    <w:name w:val="gwds_nopic1"/>
    <w:basedOn w:val="37"/>
    <w:qFormat/>
    <w:uiPriority w:val="0"/>
  </w:style>
  <w:style w:type="character" w:customStyle="1" w:styleId="123">
    <w:name w:val="gwds_nopic2"/>
    <w:basedOn w:val="37"/>
    <w:qFormat/>
    <w:uiPriority w:val="0"/>
  </w:style>
  <w:style w:type="character" w:customStyle="1" w:styleId="124">
    <w:name w:val="noline"/>
    <w:basedOn w:val="37"/>
    <w:qFormat/>
    <w:uiPriority w:val="0"/>
  </w:style>
  <w:style w:type="character" w:customStyle="1" w:styleId="125">
    <w:name w:val="hover17"/>
    <w:basedOn w:val="37"/>
    <w:qFormat/>
    <w:uiPriority w:val="0"/>
    <w:rPr>
      <w:color w:val="025291"/>
    </w:rPr>
  </w:style>
  <w:style w:type="character" w:customStyle="1" w:styleId="126">
    <w:name w:val="Unresolved Mention"/>
    <w:basedOn w:val="37"/>
    <w:semiHidden/>
    <w:unhideWhenUsed/>
    <w:qFormat/>
    <w:uiPriority w:val="99"/>
    <w:rPr>
      <w:color w:val="605E5C"/>
      <w:shd w:val="clear" w:color="auto" w:fill="E1DFDD"/>
    </w:rPr>
  </w:style>
  <w:style w:type="character" w:customStyle="1" w:styleId="127">
    <w:name w:val="NormalCharacter"/>
    <w:link w:val="1"/>
    <w:qFormat/>
    <w:uiPriority w:val="0"/>
    <w:rPr>
      <w:rFonts w:ascii="Times New Roman" w:hAnsi="Times New Roman" w:eastAsia="宋体" w:cs="Times New Roman"/>
      <w:kern w:val="2"/>
      <w:sz w:val="21"/>
      <w:lang w:val="en-US" w:eastAsia="zh-CN" w:bidi="ar-SA"/>
    </w:rPr>
  </w:style>
  <w:style w:type="character" w:customStyle="1" w:styleId="128">
    <w:name w:val="hover1"/>
    <w:basedOn w:val="37"/>
    <w:qFormat/>
    <w:uiPriority w:val="0"/>
    <w:rPr>
      <w:color w:val="2590EB"/>
      <w:shd w:val="clear" w:fill="E9F4FD"/>
    </w:rPr>
  </w:style>
  <w:style w:type="character" w:customStyle="1" w:styleId="129">
    <w:name w:val="hover2"/>
    <w:basedOn w:val="37"/>
    <w:qFormat/>
    <w:uiPriority w:val="0"/>
    <w:rPr>
      <w:color w:val="2590EB"/>
    </w:rPr>
  </w:style>
  <w:style w:type="character" w:customStyle="1" w:styleId="130">
    <w:name w:val="hover3"/>
    <w:basedOn w:val="37"/>
    <w:qFormat/>
    <w:uiPriority w:val="0"/>
    <w:rPr>
      <w:color w:val="2590EB"/>
    </w:rPr>
  </w:style>
  <w:style w:type="character" w:customStyle="1" w:styleId="131">
    <w:name w:val="hover4"/>
    <w:basedOn w:val="37"/>
    <w:qFormat/>
    <w:uiPriority w:val="0"/>
  </w:style>
  <w:style w:type="character" w:customStyle="1" w:styleId="132">
    <w:name w:val="hover"/>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11392</Words>
  <Characters>11997</Characters>
  <Lines>294</Lines>
  <Paragraphs>82</Paragraphs>
  <TotalTime>12</TotalTime>
  <ScaleCrop>false</ScaleCrop>
  <LinksUpToDate>false</LinksUpToDate>
  <CharactersWithSpaces>13108</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NTKO</cp:lastModifiedBy>
  <cp:lastPrinted>2023-07-29T01:10:00Z</cp:lastPrinted>
  <dcterms:modified xsi:type="dcterms:W3CDTF">2023-12-21T08:18:29Z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0F91DF31B20842F794856516BA3C2BB1</vt:lpwstr>
  </property>
</Properties>
</file>